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070E0" w14:textId="2ACAC1FF" w:rsidR="00E42738" w:rsidRDefault="00286D37" w:rsidP="00286D37">
      <w:pPr>
        <w:widowControl w:val="0"/>
        <w:spacing w:after="0" w:line="276" w:lineRule="auto"/>
        <w:jc w:val="center"/>
        <w:rPr>
          <w:rFonts w:ascii="Arial" w:eastAsia="Arial" w:hAnsi="Arial" w:cs="Arial"/>
          <w:sz w:val="32"/>
          <w:szCs w:val="32"/>
          <w:lang w:val="es-ES_tradnl"/>
        </w:rPr>
      </w:pPr>
      <w:r w:rsidRPr="00286D37">
        <w:rPr>
          <w:rFonts w:ascii="Arial" w:eastAsia="Arial" w:hAnsi="Arial" w:cs="Arial"/>
          <w:sz w:val="32"/>
          <w:szCs w:val="32"/>
          <w:lang w:val="es-ES_tradnl"/>
        </w:rPr>
        <w:t>Pulso Legislativo FADMED</w:t>
      </w:r>
    </w:p>
    <w:p w14:paraId="50F0A077" w14:textId="744F1CCD" w:rsidR="00286D37" w:rsidRDefault="00286D37" w:rsidP="00286D37">
      <w:pPr>
        <w:widowControl w:val="0"/>
        <w:spacing w:after="0" w:line="276" w:lineRule="auto"/>
        <w:jc w:val="center"/>
        <w:rPr>
          <w:rFonts w:ascii="Arial" w:eastAsia="Arial" w:hAnsi="Arial" w:cs="Arial"/>
          <w:sz w:val="28"/>
          <w:szCs w:val="28"/>
          <w:lang w:val="es-ES_tradnl"/>
        </w:rPr>
      </w:pPr>
      <w:r>
        <w:rPr>
          <w:rFonts w:ascii="Arial" w:eastAsia="Arial" w:hAnsi="Arial" w:cs="Arial"/>
          <w:sz w:val="28"/>
          <w:szCs w:val="28"/>
          <w:lang w:val="es-ES_tradnl"/>
        </w:rPr>
        <w:t>Ficha Legislativa</w:t>
      </w:r>
    </w:p>
    <w:p w14:paraId="1A10CBBA" w14:textId="707B8093" w:rsidR="00286D37" w:rsidRPr="00286D37" w:rsidRDefault="00286D37" w:rsidP="00286D37">
      <w:pPr>
        <w:widowControl w:val="0"/>
        <w:spacing w:after="0" w:line="276" w:lineRule="auto"/>
        <w:jc w:val="center"/>
        <w:rPr>
          <w:rFonts w:ascii="Arial" w:eastAsia="Arial" w:hAnsi="Arial" w:cs="Arial"/>
          <w:sz w:val="20"/>
          <w:szCs w:val="20"/>
          <w:lang w:val="es-ES_tradnl"/>
        </w:rPr>
      </w:pPr>
      <w:r>
        <w:rPr>
          <w:rFonts w:ascii="Arial" w:eastAsia="Arial" w:hAnsi="Arial" w:cs="Arial"/>
          <w:sz w:val="20"/>
          <w:szCs w:val="20"/>
          <w:lang w:val="es-ES_tradnl"/>
        </w:rPr>
        <w:t xml:space="preserve">Actualizada al </w:t>
      </w:r>
      <w:r w:rsidR="00722E66">
        <w:rPr>
          <w:rFonts w:ascii="Arial" w:eastAsia="Arial" w:hAnsi="Arial" w:cs="Arial"/>
          <w:sz w:val="20"/>
          <w:szCs w:val="20"/>
          <w:lang w:val="es-ES_tradnl"/>
        </w:rPr>
        <w:t>0</w:t>
      </w:r>
      <w:r w:rsidR="00F80800">
        <w:rPr>
          <w:rFonts w:ascii="Arial" w:eastAsia="Arial" w:hAnsi="Arial" w:cs="Arial"/>
          <w:sz w:val="20"/>
          <w:szCs w:val="20"/>
          <w:lang w:val="es-ES_tradnl"/>
        </w:rPr>
        <w:t>9</w:t>
      </w:r>
      <w:r>
        <w:rPr>
          <w:rFonts w:ascii="Arial" w:eastAsia="Arial" w:hAnsi="Arial" w:cs="Arial"/>
          <w:sz w:val="20"/>
          <w:szCs w:val="20"/>
          <w:lang w:val="es-ES_tradnl"/>
        </w:rPr>
        <w:t>/</w:t>
      </w:r>
      <w:r w:rsidR="00386700">
        <w:rPr>
          <w:rFonts w:ascii="Arial" w:eastAsia="Arial" w:hAnsi="Arial" w:cs="Arial"/>
          <w:sz w:val="20"/>
          <w:szCs w:val="20"/>
          <w:lang w:val="es-ES_tradnl"/>
        </w:rPr>
        <w:t>0</w:t>
      </w:r>
      <w:r w:rsidR="00F80800">
        <w:rPr>
          <w:rFonts w:ascii="Arial" w:eastAsia="Arial" w:hAnsi="Arial" w:cs="Arial"/>
          <w:sz w:val="20"/>
          <w:szCs w:val="20"/>
          <w:lang w:val="es-ES_tradnl"/>
        </w:rPr>
        <w:t>7</w:t>
      </w:r>
      <w:r>
        <w:rPr>
          <w:rFonts w:ascii="Arial" w:eastAsia="Arial" w:hAnsi="Arial" w:cs="Arial"/>
          <w:sz w:val="20"/>
          <w:szCs w:val="20"/>
          <w:lang w:val="es-ES_tradnl"/>
        </w:rPr>
        <w:t>/</w:t>
      </w:r>
      <w:r w:rsidR="008E63CC">
        <w:rPr>
          <w:rFonts w:ascii="Arial" w:eastAsia="Arial" w:hAnsi="Arial" w:cs="Arial"/>
          <w:sz w:val="20"/>
          <w:szCs w:val="20"/>
          <w:lang w:val="es-ES_tradnl"/>
        </w:rPr>
        <w:t>2</w:t>
      </w:r>
      <w:r w:rsidR="00386700">
        <w:rPr>
          <w:rFonts w:ascii="Arial" w:eastAsia="Arial" w:hAnsi="Arial" w:cs="Arial"/>
          <w:sz w:val="20"/>
          <w:szCs w:val="20"/>
          <w:lang w:val="es-ES_tradnl"/>
        </w:rPr>
        <w:t>4</w:t>
      </w:r>
    </w:p>
    <w:p w14:paraId="15D81BBD" w14:textId="1EACF1D6" w:rsidR="00286D37" w:rsidRDefault="00286D37" w:rsidP="005F2DA9">
      <w:pPr>
        <w:widowControl w:val="0"/>
        <w:spacing w:after="0" w:line="276" w:lineRule="auto"/>
        <w:jc w:val="both"/>
        <w:rPr>
          <w:rFonts w:ascii="Arial" w:eastAsia="Arial" w:hAnsi="Arial" w:cs="Arial"/>
          <w:lang w:val="es-ES_tradnl"/>
        </w:rPr>
      </w:pPr>
    </w:p>
    <w:p w14:paraId="2CD72BD4" w14:textId="77777777" w:rsidR="00286D37" w:rsidRPr="006442DC" w:rsidRDefault="00286D37" w:rsidP="005F2DA9">
      <w:pPr>
        <w:widowControl w:val="0"/>
        <w:spacing w:after="0" w:line="276" w:lineRule="auto"/>
        <w:jc w:val="both"/>
        <w:rPr>
          <w:rFonts w:ascii="Arial" w:eastAsia="Arial" w:hAnsi="Arial" w:cs="Arial"/>
          <w:lang w:val="es-ES_tradnl"/>
        </w:rPr>
      </w:pPr>
    </w:p>
    <w:tbl>
      <w:tblPr>
        <w:tblW w:w="97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0"/>
        <w:gridCol w:w="4890"/>
      </w:tblGrid>
      <w:tr w:rsidR="00E42738" w:rsidRPr="006442DC" w14:paraId="0B1CB20E" w14:textId="77777777" w:rsidTr="00963E61">
        <w:tc>
          <w:tcPr>
            <w:tcW w:w="9780" w:type="dxa"/>
            <w:gridSpan w:val="2"/>
            <w:tcBorders>
              <w:top w:val="single" w:sz="4" w:space="0" w:color="000000"/>
              <w:left w:val="single" w:sz="4" w:space="0" w:color="000000"/>
              <w:bottom w:val="single" w:sz="4" w:space="0" w:color="000000"/>
              <w:right w:val="single" w:sz="4" w:space="0" w:color="000000"/>
            </w:tcBorders>
            <w:shd w:val="clear" w:color="auto" w:fill="B4C6E7"/>
            <w:hideMark/>
          </w:tcPr>
          <w:p w14:paraId="6C25DAC6" w14:textId="30B4C850" w:rsidR="00963E61" w:rsidRPr="006442DC" w:rsidRDefault="009462FF" w:rsidP="00963E61">
            <w:pPr>
              <w:spacing w:after="0" w:line="240" w:lineRule="auto"/>
              <w:jc w:val="both"/>
              <w:rPr>
                <w:rFonts w:ascii="Arial" w:eastAsia="Cambria" w:hAnsi="Arial" w:cs="Arial"/>
                <w:b/>
                <w:sz w:val="24"/>
                <w:szCs w:val="24"/>
                <w:lang w:val="es-ES_tradnl"/>
              </w:rPr>
            </w:pPr>
            <w:r w:rsidRPr="006442DC">
              <w:rPr>
                <w:rFonts w:ascii="Arial" w:eastAsia="Cambria" w:hAnsi="Arial" w:cs="Arial"/>
                <w:b/>
                <w:sz w:val="24"/>
                <w:szCs w:val="24"/>
                <w:lang w:val="es-ES_tradnl"/>
              </w:rPr>
              <w:t xml:space="preserve"> </w:t>
            </w:r>
            <w:r w:rsidR="00286D37">
              <w:rPr>
                <w:rFonts w:ascii="Arial" w:eastAsia="Cambria" w:hAnsi="Arial" w:cs="Arial"/>
                <w:b/>
                <w:sz w:val="24"/>
                <w:szCs w:val="24"/>
                <w:lang w:val="es-ES_tradnl"/>
              </w:rPr>
              <w:t>Datos Generales</w:t>
            </w:r>
          </w:p>
          <w:p w14:paraId="13A70FFA" w14:textId="6EE5421A" w:rsidR="00E42738" w:rsidRPr="006442DC" w:rsidRDefault="00E42738" w:rsidP="005F2DA9">
            <w:pPr>
              <w:spacing w:after="0" w:line="240" w:lineRule="auto"/>
              <w:jc w:val="both"/>
              <w:rPr>
                <w:rFonts w:ascii="Arial" w:eastAsia="Cambria" w:hAnsi="Arial" w:cs="Arial"/>
                <w:b/>
                <w:sz w:val="24"/>
                <w:szCs w:val="24"/>
                <w:lang w:val="es-ES_tradnl"/>
              </w:rPr>
            </w:pPr>
          </w:p>
        </w:tc>
      </w:tr>
      <w:tr w:rsidR="0069164D" w:rsidRPr="006442DC" w14:paraId="3E4AC6EF" w14:textId="77777777" w:rsidTr="00B62121">
        <w:trPr>
          <w:trHeight w:val="890"/>
        </w:trPr>
        <w:tc>
          <w:tcPr>
            <w:tcW w:w="9780" w:type="dxa"/>
            <w:gridSpan w:val="2"/>
            <w:tcBorders>
              <w:top w:val="single" w:sz="4" w:space="0" w:color="000000"/>
              <w:left w:val="single" w:sz="4" w:space="0" w:color="000000"/>
              <w:bottom w:val="single" w:sz="4" w:space="0" w:color="000000"/>
              <w:right w:val="single" w:sz="4" w:space="0" w:color="000000"/>
            </w:tcBorders>
          </w:tcPr>
          <w:p w14:paraId="7BD8914A" w14:textId="27B181E0" w:rsidR="0069164D" w:rsidRPr="006442DC" w:rsidRDefault="00544C57" w:rsidP="0069164D">
            <w:pPr>
              <w:spacing w:before="240" w:line="240" w:lineRule="auto"/>
              <w:jc w:val="both"/>
              <w:rPr>
                <w:rFonts w:ascii="Arial" w:eastAsia="Cambria" w:hAnsi="Arial" w:cs="Arial"/>
                <w:lang w:val="es-ES_tradnl"/>
              </w:rPr>
            </w:pPr>
            <w:r>
              <w:rPr>
                <w:rFonts w:ascii="Arial" w:eastAsia="Cambria" w:hAnsi="Arial" w:cs="Arial"/>
                <w:sz w:val="24"/>
                <w:szCs w:val="24"/>
                <w:lang w:val="es-ES_tradnl"/>
              </w:rPr>
              <w:t>M</w:t>
            </w:r>
            <w:r w:rsidRPr="00544C57">
              <w:rPr>
                <w:rFonts w:ascii="Arial" w:eastAsia="Cambria" w:hAnsi="Arial" w:cs="Arial"/>
                <w:sz w:val="24"/>
                <w:szCs w:val="24"/>
                <w:lang w:val="es-ES_tradnl"/>
              </w:rPr>
              <w:t>odifica las normas sobre protección de los derechos de los consumidores para exigir que los dispositivos móviles de información y telecomunicaciones y los videojuegos incluyan advertencia sobre los riesgos de su uso desmedido en menores, cyberbullying y niveles de violencia</w:t>
            </w:r>
            <w:r w:rsidR="00620D4E">
              <w:rPr>
                <w:rFonts w:ascii="Arial" w:eastAsia="Cambria" w:hAnsi="Arial" w:cs="Arial"/>
                <w:sz w:val="24"/>
                <w:szCs w:val="24"/>
                <w:lang w:val="es-ES_tradnl"/>
              </w:rPr>
              <w:t>.</w:t>
            </w:r>
          </w:p>
        </w:tc>
      </w:tr>
      <w:tr w:rsidR="0069164D" w:rsidRPr="0024305C" w14:paraId="518356F5" w14:textId="77777777" w:rsidTr="00735D11">
        <w:trPr>
          <w:trHeight w:val="640"/>
        </w:trPr>
        <w:tc>
          <w:tcPr>
            <w:tcW w:w="4890" w:type="dxa"/>
            <w:tcBorders>
              <w:top w:val="single" w:sz="4" w:space="0" w:color="000000"/>
              <w:left w:val="single" w:sz="4" w:space="0" w:color="000000"/>
              <w:bottom w:val="single" w:sz="4" w:space="0" w:color="000000"/>
              <w:right w:val="single" w:sz="4" w:space="0" w:color="000000"/>
            </w:tcBorders>
          </w:tcPr>
          <w:p w14:paraId="78D9DC67" w14:textId="77777777" w:rsidR="0069164D" w:rsidRDefault="0069164D" w:rsidP="0069164D">
            <w:pPr>
              <w:spacing w:after="0" w:line="240" w:lineRule="auto"/>
              <w:jc w:val="both"/>
              <w:rPr>
                <w:rFonts w:ascii="Arial" w:eastAsia="Cambria" w:hAnsi="Arial" w:cs="Arial"/>
                <w:lang w:val="es-ES_tradnl"/>
              </w:rPr>
            </w:pPr>
          </w:p>
          <w:p w14:paraId="6DC3729F" w14:textId="08B07A7F" w:rsidR="0071379D" w:rsidRPr="006442DC" w:rsidRDefault="0071379D" w:rsidP="0071379D">
            <w:pPr>
              <w:spacing w:after="0" w:line="240" w:lineRule="auto"/>
              <w:jc w:val="both"/>
              <w:rPr>
                <w:rFonts w:ascii="Arial" w:eastAsia="Cambria" w:hAnsi="Arial" w:cs="Arial"/>
                <w:lang w:val="es-ES_tradnl"/>
              </w:rPr>
            </w:pPr>
            <w:r w:rsidRPr="00B62121">
              <w:rPr>
                <w:rFonts w:ascii="Arial" w:eastAsia="Cambria" w:hAnsi="Arial" w:cs="Arial"/>
                <w:b/>
                <w:lang w:val="es-ES_tradnl"/>
              </w:rPr>
              <w:t>N° boletín</w:t>
            </w:r>
            <w:r>
              <w:rPr>
                <w:rFonts w:ascii="Arial" w:eastAsia="Cambria" w:hAnsi="Arial" w:cs="Arial"/>
                <w:lang w:val="es-ES_tradnl"/>
              </w:rPr>
              <w:t xml:space="preserve"> </w:t>
            </w:r>
            <w:r w:rsidR="00733374" w:rsidRPr="00733374">
              <w:rPr>
                <w:rFonts w:ascii="Arial" w:eastAsia="Cambria" w:hAnsi="Arial" w:cs="Arial"/>
                <w:lang w:val="es-ES_tradnl"/>
              </w:rPr>
              <w:t>12770-19</w:t>
            </w:r>
            <w:r w:rsidR="00733374">
              <w:rPr>
                <w:rFonts w:ascii="Arial" w:eastAsia="Cambria" w:hAnsi="Arial" w:cs="Arial"/>
                <w:lang w:val="es-ES_tradnl"/>
              </w:rPr>
              <w:t xml:space="preserve">, </w:t>
            </w:r>
            <w:r w:rsidR="00733374" w:rsidRPr="00733374">
              <w:rPr>
                <w:rFonts w:ascii="Arial" w:eastAsia="Cambria" w:hAnsi="Arial" w:cs="Arial"/>
                <w:lang w:val="es-ES_tradnl"/>
              </w:rPr>
              <w:t>14978-03</w:t>
            </w:r>
            <w:r w:rsidR="00733374">
              <w:rPr>
                <w:rFonts w:ascii="Arial" w:eastAsia="Cambria" w:hAnsi="Arial" w:cs="Arial"/>
                <w:lang w:val="es-ES_tradnl"/>
              </w:rPr>
              <w:t xml:space="preserve"> y</w:t>
            </w:r>
            <w:r w:rsidR="00733374" w:rsidRPr="00733374">
              <w:rPr>
                <w:rFonts w:ascii="Arial" w:eastAsia="Cambria" w:hAnsi="Arial" w:cs="Arial"/>
                <w:lang w:val="es-ES_tradnl"/>
              </w:rPr>
              <w:t xml:space="preserve"> 15020-19</w:t>
            </w:r>
          </w:p>
          <w:p w14:paraId="1A022C92" w14:textId="0861D4DD" w:rsidR="0069164D" w:rsidRPr="006442DC" w:rsidRDefault="0069164D" w:rsidP="0069164D">
            <w:pPr>
              <w:spacing w:after="0" w:line="240" w:lineRule="auto"/>
              <w:ind w:left="708"/>
              <w:jc w:val="both"/>
              <w:rPr>
                <w:rFonts w:ascii="Arial" w:eastAsia="Cambria" w:hAnsi="Arial" w:cs="Arial"/>
                <w:lang w:val="es-ES_tradnl"/>
              </w:rPr>
            </w:pPr>
          </w:p>
        </w:tc>
        <w:tc>
          <w:tcPr>
            <w:tcW w:w="4890" w:type="dxa"/>
            <w:tcBorders>
              <w:top w:val="single" w:sz="4" w:space="0" w:color="000000"/>
              <w:left w:val="single" w:sz="4" w:space="0" w:color="000000"/>
              <w:bottom w:val="single" w:sz="4" w:space="0" w:color="000000"/>
              <w:right w:val="single" w:sz="4" w:space="0" w:color="000000"/>
            </w:tcBorders>
          </w:tcPr>
          <w:p w14:paraId="0C360079" w14:textId="77777777" w:rsidR="0069164D" w:rsidRDefault="0069164D" w:rsidP="0069164D">
            <w:pPr>
              <w:spacing w:after="0" w:line="240" w:lineRule="auto"/>
              <w:ind w:left="708"/>
              <w:jc w:val="both"/>
              <w:rPr>
                <w:rFonts w:ascii="Arial" w:eastAsia="Cambria" w:hAnsi="Arial" w:cs="Arial"/>
                <w:b/>
                <w:lang w:val="es-ES_tradnl"/>
              </w:rPr>
            </w:pPr>
          </w:p>
          <w:p w14:paraId="1AE66C75" w14:textId="77777777" w:rsidR="0069164D" w:rsidRDefault="0071379D" w:rsidP="0069164D">
            <w:pPr>
              <w:spacing w:after="0" w:line="240" w:lineRule="auto"/>
              <w:jc w:val="both"/>
              <w:rPr>
                <w:rFonts w:ascii="Arial" w:eastAsia="Cambria" w:hAnsi="Arial" w:cs="Arial"/>
                <w:lang w:val="es-ES_tradnl"/>
              </w:rPr>
            </w:pPr>
            <w:r>
              <w:rPr>
                <w:rFonts w:ascii="Arial" w:eastAsia="Cambria" w:hAnsi="Arial" w:cs="Arial"/>
                <w:b/>
                <w:lang w:val="es-ES_tradnl"/>
              </w:rPr>
              <w:t>Fecha de ingreso</w:t>
            </w:r>
            <w:r w:rsidRPr="006442DC">
              <w:rPr>
                <w:rFonts w:ascii="Arial" w:eastAsia="Cambria" w:hAnsi="Arial" w:cs="Arial"/>
                <w:b/>
                <w:lang w:val="es-ES_tradnl"/>
              </w:rPr>
              <w:t>:</w:t>
            </w:r>
            <w:r>
              <w:rPr>
                <w:rFonts w:ascii="Arial" w:eastAsia="Cambria" w:hAnsi="Arial" w:cs="Arial"/>
                <w:b/>
                <w:lang w:val="es-ES_tradnl"/>
              </w:rPr>
              <w:t xml:space="preserve"> </w:t>
            </w:r>
            <w:r w:rsidR="00B166BB">
              <w:rPr>
                <w:rFonts w:ascii="Arial" w:eastAsia="Cambria" w:hAnsi="Arial" w:cs="Arial"/>
                <w:lang w:val="es-ES_tradnl"/>
              </w:rPr>
              <w:t>4 de julio, 2019</w:t>
            </w:r>
          </w:p>
          <w:p w14:paraId="2FD67641" w14:textId="3BFCBC56" w:rsidR="007C21A3" w:rsidRPr="00A11360" w:rsidRDefault="007C21A3" w:rsidP="0069164D">
            <w:pPr>
              <w:spacing w:after="0" w:line="240" w:lineRule="auto"/>
              <w:jc w:val="both"/>
              <w:rPr>
                <w:rFonts w:ascii="Arial" w:eastAsia="Cambria" w:hAnsi="Arial" w:cs="Arial"/>
                <w:lang w:val="es-ES_tradnl"/>
              </w:rPr>
            </w:pPr>
          </w:p>
        </w:tc>
      </w:tr>
      <w:tr w:rsidR="0069164D" w:rsidRPr="006442DC" w14:paraId="21E0FB0D" w14:textId="77777777" w:rsidTr="00735D11">
        <w:trPr>
          <w:trHeight w:val="831"/>
        </w:trPr>
        <w:tc>
          <w:tcPr>
            <w:tcW w:w="4890" w:type="dxa"/>
            <w:tcBorders>
              <w:top w:val="single" w:sz="4" w:space="0" w:color="000000"/>
              <w:left w:val="single" w:sz="4" w:space="0" w:color="000000"/>
              <w:bottom w:val="single" w:sz="4" w:space="0" w:color="000000"/>
              <w:right w:val="single" w:sz="4" w:space="0" w:color="000000"/>
            </w:tcBorders>
          </w:tcPr>
          <w:p w14:paraId="3EED6469" w14:textId="77777777" w:rsidR="0069164D" w:rsidRDefault="0069164D" w:rsidP="0069164D">
            <w:pPr>
              <w:spacing w:after="0" w:line="240" w:lineRule="auto"/>
              <w:ind w:left="708"/>
              <w:jc w:val="both"/>
              <w:rPr>
                <w:rFonts w:ascii="Arial" w:eastAsia="Cambria" w:hAnsi="Arial" w:cs="Arial"/>
                <w:b/>
                <w:lang w:val="es-ES_tradnl"/>
              </w:rPr>
            </w:pPr>
          </w:p>
          <w:p w14:paraId="1DEFF7CD" w14:textId="59E6B208" w:rsidR="0069164D" w:rsidRPr="006442DC" w:rsidRDefault="0069164D" w:rsidP="0069164D">
            <w:pPr>
              <w:spacing w:after="0" w:line="240" w:lineRule="auto"/>
              <w:jc w:val="both"/>
              <w:rPr>
                <w:rFonts w:ascii="Arial" w:eastAsia="Cambria" w:hAnsi="Arial" w:cs="Arial"/>
                <w:lang w:val="es-ES_tradnl"/>
              </w:rPr>
            </w:pPr>
            <w:r>
              <w:rPr>
                <w:rFonts w:ascii="Arial" w:eastAsia="Cambria" w:hAnsi="Arial" w:cs="Arial"/>
                <w:b/>
                <w:lang w:val="es-ES_tradnl"/>
              </w:rPr>
              <w:t>Origen</w:t>
            </w:r>
            <w:r w:rsidRPr="006442DC">
              <w:rPr>
                <w:rFonts w:ascii="Arial" w:eastAsia="Cambria" w:hAnsi="Arial" w:cs="Arial"/>
                <w:b/>
                <w:lang w:val="es-ES_tradnl"/>
              </w:rPr>
              <w:t>:</w:t>
            </w:r>
            <w:r w:rsidRPr="006442DC">
              <w:rPr>
                <w:rFonts w:ascii="Arial" w:eastAsia="Cambria" w:hAnsi="Arial" w:cs="Arial"/>
                <w:lang w:val="es-ES_tradnl"/>
              </w:rPr>
              <w:t xml:space="preserve"> Moción</w:t>
            </w:r>
          </w:p>
        </w:tc>
        <w:tc>
          <w:tcPr>
            <w:tcW w:w="4890" w:type="dxa"/>
            <w:tcBorders>
              <w:top w:val="single" w:sz="4" w:space="0" w:color="000000"/>
              <w:left w:val="single" w:sz="4" w:space="0" w:color="000000"/>
              <w:bottom w:val="single" w:sz="4" w:space="0" w:color="000000"/>
              <w:right w:val="single" w:sz="4" w:space="0" w:color="000000"/>
            </w:tcBorders>
          </w:tcPr>
          <w:p w14:paraId="706C3C48" w14:textId="77777777" w:rsidR="0069164D" w:rsidRDefault="0069164D" w:rsidP="0069164D">
            <w:pPr>
              <w:spacing w:after="0" w:line="240" w:lineRule="auto"/>
              <w:ind w:left="708"/>
              <w:jc w:val="both"/>
              <w:rPr>
                <w:rFonts w:ascii="Arial" w:eastAsia="Cambria" w:hAnsi="Arial" w:cs="Arial"/>
                <w:lang w:val="es-ES_tradnl"/>
              </w:rPr>
            </w:pPr>
          </w:p>
          <w:p w14:paraId="33BE2D6A" w14:textId="40CBC581" w:rsidR="0069164D" w:rsidRPr="006442DC" w:rsidRDefault="0069164D" w:rsidP="0069164D">
            <w:pPr>
              <w:spacing w:after="0" w:line="240" w:lineRule="auto"/>
              <w:jc w:val="both"/>
              <w:rPr>
                <w:rFonts w:ascii="Arial" w:eastAsia="Cambria" w:hAnsi="Arial" w:cs="Arial"/>
                <w:lang w:val="es-ES_tradnl"/>
              </w:rPr>
            </w:pPr>
            <w:r w:rsidRPr="00735D11">
              <w:rPr>
                <w:rFonts w:ascii="Arial" w:eastAsia="Cambria" w:hAnsi="Arial" w:cs="Arial"/>
                <w:b/>
                <w:lang w:val="es-ES_tradnl"/>
              </w:rPr>
              <w:t>Cámara de Ingreso:</w:t>
            </w:r>
            <w:r>
              <w:rPr>
                <w:rFonts w:ascii="Arial" w:eastAsia="Cambria" w:hAnsi="Arial" w:cs="Arial"/>
                <w:lang w:val="es-ES_tradnl"/>
              </w:rPr>
              <w:t xml:space="preserve"> </w:t>
            </w:r>
            <w:r w:rsidR="00E85838">
              <w:rPr>
                <w:rFonts w:ascii="Arial" w:eastAsia="Cambria" w:hAnsi="Arial" w:cs="Arial"/>
                <w:lang w:val="es-ES_tradnl"/>
              </w:rPr>
              <w:t>Cámara de Diputados</w:t>
            </w:r>
          </w:p>
        </w:tc>
      </w:tr>
      <w:tr w:rsidR="0069164D" w:rsidRPr="004B7CEC" w14:paraId="2BDCA821" w14:textId="77777777" w:rsidTr="00963E61">
        <w:tc>
          <w:tcPr>
            <w:tcW w:w="9780" w:type="dxa"/>
            <w:gridSpan w:val="2"/>
            <w:tcBorders>
              <w:top w:val="single" w:sz="4" w:space="0" w:color="000000"/>
              <w:left w:val="single" w:sz="4" w:space="0" w:color="000000"/>
              <w:bottom w:val="single" w:sz="4" w:space="0" w:color="000000"/>
              <w:right w:val="single" w:sz="4" w:space="0" w:color="000000"/>
            </w:tcBorders>
          </w:tcPr>
          <w:p w14:paraId="29FEB7C4" w14:textId="3E04271F" w:rsidR="0069164D" w:rsidRPr="004B7CEC" w:rsidRDefault="0071379D" w:rsidP="0069164D">
            <w:pPr>
              <w:spacing w:before="240" w:line="240" w:lineRule="auto"/>
              <w:jc w:val="both"/>
              <w:rPr>
                <w:rFonts w:ascii="Arial" w:eastAsia="Cambria" w:hAnsi="Arial" w:cs="Arial"/>
              </w:rPr>
            </w:pPr>
            <w:r w:rsidRPr="00735D11">
              <w:rPr>
                <w:rFonts w:ascii="Arial" w:eastAsia="Cambria" w:hAnsi="Arial" w:cs="Arial"/>
                <w:b/>
                <w:lang w:val="es-ES_tradnl"/>
              </w:rPr>
              <w:t>Autores</w:t>
            </w:r>
            <w:r w:rsidR="008E53DE">
              <w:rPr>
                <w:rFonts w:ascii="Arial" w:eastAsia="Cambria" w:hAnsi="Arial" w:cs="Arial"/>
                <w:b/>
                <w:lang w:val="es-ES_tradnl"/>
              </w:rPr>
              <w:t xml:space="preserve">: </w:t>
            </w:r>
            <w:r w:rsidR="00D61F9F" w:rsidRPr="00BE7615">
              <w:rPr>
                <w:rFonts w:ascii="Arial" w:eastAsia="Cambria" w:hAnsi="Arial" w:cs="Arial"/>
                <w:bCs/>
                <w:lang w:val="es-ES_tradnl"/>
              </w:rPr>
              <w:t>Miguel Ángel Becker</w:t>
            </w:r>
            <w:r w:rsidR="00BE7615">
              <w:rPr>
                <w:rFonts w:ascii="Arial" w:eastAsia="Cambria" w:hAnsi="Arial" w:cs="Arial"/>
                <w:bCs/>
                <w:lang w:val="es-ES_tradnl"/>
              </w:rPr>
              <w:t xml:space="preserve"> (</w:t>
            </w:r>
            <w:r w:rsidR="00D26989">
              <w:rPr>
                <w:rFonts w:ascii="Arial" w:eastAsia="Cambria" w:hAnsi="Arial" w:cs="Arial"/>
                <w:bCs/>
                <w:lang w:val="es-ES_tradnl"/>
              </w:rPr>
              <w:t>RN),</w:t>
            </w:r>
            <w:r w:rsidR="00D61F9F" w:rsidRPr="00BE7615">
              <w:rPr>
                <w:rFonts w:ascii="Arial" w:eastAsia="Cambria" w:hAnsi="Arial" w:cs="Arial"/>
                <w:bCs/>
                <w:lang w:val="es-ES_tradnl"/>
              </w:rPr>
              <w:t xml:space="preserve"> Sara Concha</w:t>
            </w:r>
            <w:r w:rsidR="00AD6D15">
              <w:rPr>
                <w:rFonts w:ascii="Arial" w:eastAsia="Cambria" w:hAnsi="Arial" w:cs="Arial"/>
                <w:bCs/>
                <w:lang w:val="es-ES_tradnl"/>
              </w:rPr>
              <w:t xml:space="preserve"> (PSC),</w:t>
            </w:r>
            <w:r w:rsidR="00D61F9F" w:rsidRPr="00BE7615">
              <w:rPr>
                <w:rFonts w:ascii="Arial" w:eastAsia="Cambria" w:hAnsi="Arial" w:cs="Arial"/>
                <w:bCs/>
                <w:lang w:val="es-ES_tradnl"/>
              </w:rPr>
              <w:t xml:space="preserve"> María Luisa Cordero</w:t>
            </w:r>
            <w:r w:rsidR="00AD6D15">
              <w:rPr>
                <w:rFonts w:ascii="Arial" w:eastAsia="Cambria" w:hAnsi="Arial" w:cs="Arial"/>
                <w:bCs/>
                <w:lang w:val="es-ES_tradnl"/>
              </w:rPr>
              <w:t xml:space="preserve"> (IND),</w:t>
            </w:r>
            <w:r w:rsidR="00D61F9F" w:rsidRPr="00BE7615">
              <w:rPr>
                <w:rFonts w:ascii="Arial" w:eastAsia="Cambria" w:hAnsi="Arial" w:cs="Arial"/>
                <w:bCs/>
                <w:lang w:val="es-ES_tradnl"/>
              </w:rPr>
              <w:t xml:space="preserve"> Camila Flores</w:t>
            </w:r>
            <w:r w:rsidR="007A33FD">
              <w:rPr>
                <w:rFonts w:ascii="Arial" w:eastAsia="Cambria" w:hAnsi="Arial" w:cs="Arial"/>
                <w:bCs/>
                <w:lang w:val="es-ES_tradnl"/>
              </w:rPr>
              <w:t xml:space="preserve"> (RN), </w:t>
            </w:r>
            <w:r w:rsidR="00D61F9F" w:rsidRPr="00BE7615">
              <w:rPr>
                <w:rFonts w:ascii="Arial" w:eastAsia="Cambria" w:hAnsi="Arial" w:cs="Arial"/>
                <w:bCs/>
                <w:lang w:val="es-ES_tradnl"/>
              </w:rPr>
              <w:t>Paula Labra</w:t>
            </w:r>
            <w:r w:rsidR="007A33FD">
              <w:rPr>
                <w:rFonts w:ascii="Arial" w:eastAsia="Cambria" w:hAnsi="Arial" w:cs="Arial"/>
                <w:bCs/>
                <w:lang w:val="es-ES_tradnl"/>
              </w:rPr>
              <w:t xml:space="preserve"> (IND),</w:t>
            </w:r>
            <w:r w:rsidR="00D61F9F" w:rsidRPr="00BE7615">
              <w:rPr>
                <w:rFonts w:ascii="Arial" w:eastAsia="Cambria" w:hAnsi="Arial" w:cs="Arial"/>
                <w:bCs/>
                <w:lang w:val="es-ES_tradnl"/>
              </w:rPr>
              <w:t xml:space="preserve"> Miguel Mellado</w:t>
            </w:r>
            <w:r w:rsidR="00C51994">
              <w:rPr>
                <w:rFonts w:ascii="Arial" w:eastAsia="Cambria" w:hAnsi="Arial" w:cs="Arial"/>
                <w:bCs/>
                <w:lang w:val="es-ES_tradnl"/>
              </w:rPr>
              <w:t xml:space="preserve"> (RN),</w:t>
            </w:r>
            <w:r w:rsidR="00D61F9F" w:rsidRPr="00BE7615">
              <w:rPr>
                <w:rFonts w:ascii="Arial" w:eastAsia="Cambria" w:hAnsi="Arial" w:cs="Arial"/>
                <w:bCs/>
                <w:lang w:val="es-ES_tradnl"/>
              </w:rPr>
              <w:t xml:space="preserve"> Carla Morales</w:t>
            </w:r>
            <w:r w:rsidR="00C51994">
              <w:rPr>
                <w:rFonts w:ascii="Arial" w:eastAsia="Cambria" w:hAnsi="Arial" w:cs="Arial"/>
                <w:bCs/>
                <w:lang w:val="es-ES_tradnl"/>
              </w:rPr>
              <w:t xml:space="preserve"> (RN),</w:t>
            </w:r>
            <w:r w:rsidR="00D61F9F" w:rsidRPr="00BE7615">
              <w:rPr>
                <w:rFonts w:ascii="Arial" w:eastAsia="Cambria" w:hAnsi="Arial" w:cs="Arial"/>
                <w:bCs/>
                <w:lang w:val="es-ES_tradnl"/>
              </w:rPr>
              <w:t xml:space="preserve"> Francesca Muñoz</w:t>
            </w:r>
            <w:r w:rsidR="00287511">
              <w:rPr>
                <w:rFonts w:ascii="Arial" w:eastAsia="Cambria" w:hAnsi="Arial" w:cs="Arial"/>
                <w:bCs/>
                <w:lang w:val="es-ES_tradnl"/>
              </w:rPr>
              <w:t xml:space="preserve"> (PSC),</w:t>
            </w:r>
            <w:r w:rsidR="00D61F9F" w:rsidRPr="00BE7615">
              <w:rPr>
                <w:rFonts w:ascii="Arial" w:eastAsia="Cambria" w:hAnsi="Arial" w:cs="Arial"/>
                <w:bCs/>
                <w:lang w:val="es-ES_tradnl"/>
              </w:rPr>
              <w:t xml:space="preserve"> Marcia Raphael</w:t>
            </w:r>
            <w:r w:rsidR="00287511">
              <w:rPr>
                <w:rFonts w:ascii="Arial" w:eastAsia="Cambria" w:hAnsi="Arial" w:cs="Arial"/>
                <w:bCs/>
                <w:lang w:val="es-ES_tradnl"/>
              </w:rPr>
              <w:t xml:space="preserve"> (RN),</w:t>
            </w:r>
            <w:r w:rsidR="00D61F9F" w:rsidRPr="00BE7615">
              <w:rPr>
                <w:rFonts w:ascii="Arial" w:eastAsia="Cambria" w:hAnsi="Arial" w:cs="Arial"/>
                <w:bCs/>
                <w:lang w:val="es-ES_tradnl"/>
              </w:rPr>
              <w:t xml:space="preserve"> Hotuiti Teao</w:t>
            </w:r>
            <w:r w:rsidR="006F41E5">
              <w:rPr>
                <w:rFonts w:ascii="Arial" w:eastAsia="Cambria" w:hAnsi="Arial" w:cs="Arial"/>
                <w:bCs/>
                <w:lang w:val="es-ES_tradnl"/>
              </w:rPr>
              <w:t xml:space="preserve"> (IND)</w:t>
            </w:r>
            <w:r w:rsidR="00BE7615" w:rsidRPr="00BE7615">
              <w:rPr>
                <w:rFonts w:ascii="Arial" w:eastAsia="Cambria" w:hAnsi="Arial" w:cs="Arial"/>
                <w:bCs/>
                <w:lang w:val="es-ES_tradnl"/>
              </w:rPr>
              <w:t xml:space="preserve"> Marta Bravo</w:t>
            </w:r>
            <w:r w:rsidR="006F41E5">
              <w:rPr>
                <w:rFonts w:ascii="Arial" w:eastAsia="Cambria" w:hAnsi="Arial" w:cs="Arial"/>
                <w:bCs/>
                <w:lang w:val="es-ES_tradnl"/>
              </w:rPr>
              <w:t xml:space="preserve"> (UDI),</w:t>
            </w:r>
            <w:r w:rsidR="00BE7615" w:rsidRPr="00BE7615">
              <w:rPr>
                <w:rFonts w:ascii="Arial" w:eastAsia="Cambria" w:hAnsi="Arial" w:cs="Arial"/>
                <w:bCs/>
                <w:lang w:val="es-ES_tradnl"/>
              </w:rPr>
              <w:t xml:space="preserve"> Fernando Bórquez</w:t>
            </w:r>
            <w:r w:rsidR="00A149A7">
              <w:rPr>
                <w:rFonts w:ascii="Arial" w:eastAsia="Cambria" w:hAnsi="Arial" w:cs="Arial"/>
                <w:bCs/>
                <w:lang w:val="es-ES_tradnl"/>
              </w:rPr>
              <w:t xml:space="preserve"> (UDI),</w:t>
            </w:r>
            <w:r w:rsidR="00BE7615" w:rsidRPr="00BE7615">
              <w:rPr>
                <w:rFonts w:ascii="Arial" w:eastAsia="Cambria" w:hAnsi="Arial" w:cs="Arial"/>
                <w:bCs/>
                <w:lang w:val="es-ES_tradnl"/>
              </w:rPr>
              <w:t xml:space="preserve"> Álvaro Carter</w:t>
            </w:r>
            <w:r w:rsidR="00A149A7">
              <w:rPr>
                <w:rFonts w:ascii="Arial" w:eastAsia="Cambria" w:hAnsi="Arial" w:cs="Arial"/>
                <w:bCs/>
                <w:lang w:val="es-ES_tradnl"/>
              </w:rPr>
              <w:t xml:space="preserve"> (UDI),</w:t>
            </w:r>
            <w:r w:rsidR="00BE7615" w:rsidRPr="00BE7615">
              <w:rPr>
                <w:rFonts w:ascii="Arial" w:eastAsia="Cambria" w:hAnsi="Arial" w:cs="Arial"/>
                <w:bCs/>
                <w:lang w:val="es-ES_tradnl"/>
              </w:rPr>
              <w:t xml:space="preserve"> Eduardo Cornejo</w:t>
            </w:r>
            <w:r w:rsidR="006352C9">
              <w:rPr>
                <w:rFonts w:ascii="Arial" w:eastAsia="Cambria" w:hAnsi="Arial" w:cs="Arial"/>
                <w:bCs/>
                <w:lang w:val="es-ES_tradnl"/>
              </w:rPr>
              <w:t xml:space="preserve"> (UDI),</w:t>
            </w:r>
            <w:r w:rsidR="00BE7615" w:rsidRPr="00BE7615">
              <w:rPr>
                <w:rFonts w:ascii="Arial" w:eastAsia="Cambria" w:hAnsi="Arial" w:cs="Arial"/>
                <w:bCs/>
                <w:lang w:val="es-ES_tradnl"/>
              </w:rPr>
              <w:t xml:space="preserve"> Daniel Lilayu</w:t>
            </w:r>
            <w:r w:rsidR="006352C9">
              <w:rPr>
                <w:rFonts w:ascii="Arial" w:eastAsia="Cambria" w:hAnsi="Arial" w:cs="Arial"/>
                <w:bCs/>
                <w:lang w:val="es-ES_tradnl"/>
              </w:rPr>
              <w:t xml:space="preserve"> (UDI)</w:t>
            </w:r>
            <w:r w:rsidR="00BE7615" w:rsidRPr="00BE7615">
              <w:rPr>
                <w:rFonts w:ascii="Arial" w:eastAsia="Cambria" w:hAnsi="Arial" w:cs="Arial"/>
                <w:bCs/>
                <w:lang w:val="es-ES_tradnl"/>
              </w:rPr>
              <w:t xml:space="preserve"> Cristóbal Martínez</w:t>
            </w:r>
            <w:r w:rsidR="00A6350D">
              <w:rPr>
                <w:rFonts w:ascii="Arial" w:eastAsia="Cambria" w:hAnsi="Arial" w:cs="Arial"/>
                <w:bCs/>
                <w:lang w:val="es-ES_tradnl"/>
              </w:rPr>
              <w:t xml:space="preserve"> (UDI),</w:t>
            </w:r>
            <w:r w:rsidR="00BE7615" w:rsidRPr="00BE7615">
              <w:rPr>
                <w:rFonts w:ascii="Arial" w:eastAsia="Cambria" w:hAnsi="Arial" w:cs="Arial"/>
                <w:bCs/>
                <w:lang w:val="es-ES_tradnl"/>
              </w:rPr>
              <w:t xml:space="preserve"> Marlene Pérez</w:t>
            </w:r>
            <w:r w:rsidR="00A6350D">
              <w:rPr>
                <w:rFonts w:ascii="Arial" w:eastAsia="Cambria" w:hAnsi="Arial" w:cs="Arial"/>
                <w:bCs/>
                <w:lang w:val="es-ES_tradnl"/>
              </w:rPr>
              <w:t xml:space="preserve"> (IND),</w:t>
            </w:r>
            <w:r w:rsidR="00BE7615" w:rsidRPr="00BE7615">
              <w:rPr>
                <w:rFonts w:ascii="Arial" w:eastAsia="Cambria" w:hAnsi="Arial" w:cs="Arial"/>
                <w:bCs/>
                <w:lang w:val="es-ES_tradnl"/>
              </w:rPr>
              <w:t xml:space="preserve"> Natalia Romero</w:t>
            </w:r>
            <w:r w:rsidR="0091561E">
              <w:rPr>
                <w:rFonts w:ascii="Arial" w:eastAsia="Cambria" w:hAnsi="Arial" w:cs="Arial"/>
                <w:bCs/>
                <w:lang w:val="es-ES_tradnl"/>
              </w:rPr>
              <w:t xml:space="preserve"> (IND),</w:t>
            </w:r>
            <w:r w:rsidR="00BE7615" w:rsidRPr="00BE7615">
              <w:rPr>
                <w:rFonts w:ascii="Arial" w:eastAsia="Cambria" w:hAnsi="Arial" w:cs="Arial"/>
                <w:bCs/>
                <w:lang w:val="es-ES_tradnl"/>
              </w:rPr>
              <w:t xml:space="preserve"> Marco Antonio Sulantay</w:t>
            </w:r>
            <w:r w:rsidR="004C48DE">
              <w:rPr>
                <w:rFonts w:ascii="Arial" w:eastAsia="Cambria" w:hAnsi="Arial" w:cs="Arial"/>
                <w:bCs/>
                <w:lang w:val="es-ES_tradnl"/>
              </w:rPr>
              <w:t xml:space="preserve"> (UDI),</w:t>
            </w:r>
            <w:r w:rsidR="00BE7615" w:rsidRPr="00BE7615">
              <w:rPr>
                <w:rFonts w:ascii="Arial" w:eastAsia="Cambria" w:hAnsi="Arial" w:cs="Arial"/>
                <w:bCs/>
                <w:lang w:val="es-ES_tradnl"/>
              </w:rPr>
              <w:t xml:space="preserve"> Renzo Trisotti</w:t>
            </w:r>
            <w:r w:rsidR="004C48DE">
              <w:rPr>
                <w:rFonts w:ascii="Arial" w:eastAsia="Cambria" w:hAnsi="Arial" w:cs="Arial"/>
                <w:bCs/>
                <w:lang w:val="es-ES_tradnl"/>
              </w:rPr>
              <w:t xml:space="preserve"> (UDI).</w:t>
            </w:r>
          </w:p>
        </w:tc>
      </w:tr>
      <w:tr w:rsidR="0069164D" w:rsidRPr="006442DC" w14:paraId="60DCBE63" w14:textId="77777777" w:rsidTr="00963E61">
        <w:tc>
          <w:tcPr>
            <w:tcW w:w="9780" w:type="dxa"/>
            <w:gridSpan w:val="2"/>
            <w:tcBorders>
              <w:top w:val="single" w:sz="4" w:space="0" w:color="000000"/>
              <w:left w:val="single" w:sz="4" w:space="0" w:color="000000"/>
              <w:bottom w:val="single" w:sz="4" w:space="0" w:color="000000"/>
              <w:right w:val="single" w:sz="4" w:space="0" w:color="000000"/>
            </w:tcBorders>
          </w:tcPr>
          <w:p w14:paraId="36ABC973" w14:textId="77777777" w:rsidR="0069164D" w:rsidRPr="004B7CEC" w:rsidRDefault="0069164D" w:rsidP="0069164D">
            <w:pPr>
              <w:spacing w:after="0" w:line="240" w:lineRule="auto"/>
              <w:jc w:val="both"/>
              <w:rPr>
                <w:rFonts w:ascii="Arial" w:eastAsia="Cambria" w:hAnsi="Arial" w:cs="Arial"/>
              </w:rPr>
            </w:pPr>
          </w:p>
          <w:p w14:paraId="612C8E80" w14:textId="3B73F27E" w:rsidR="0071379D" w:rsidRPr="006442DC" w:rsidRDefault="002E7B46" w:rsidP="0071379D">
            <w:pPr>
              <w:spacing w:after="0" w:line="240" w:lineRule="auto"/>
              <w:jc w:val="both"/>
              <w:rPr>
                <w:rFonts w:ascii="Arial" w:eastAsia="Cambria" w:hAnsi="Arial" w:cs="Arial"/>
                <w:b/>
                <w:lang w:val="es-ES_tradnl"/>
              </w:rPr>
            </w:pPr>
            <w:r>
              <w:rPr>
                <w:rFonts w:ascii="Arial" w:eastAsia="Cambria" w:hAnsi="Arial" w:cs="Arial"/>
                <w:b/>
                <w:lang w:val="es-ES_tradnl"/>
              </w:rPr>
              <w:t>Palabras Claves</w:t>
            </w:r>
            <w:r w:rsidR="0071379D" w:rsidRPr="006442DC">
              <w:rPr>
                <w:rFonts w:ascii="Arial" w:eastAsia="Cambria" w:hAnsi="Arial" w:cs="Arial"/>
                <w:b/>
                <w:lang w:val="es-ES_tradnl"/>
              </w:rPr>
              <w:t>:</w:t>
            </w:r>
          </w:p>
          <w:p w14:paraId="0563A696" w14:textId="77777777" w:rsidR="0071379D" w:rsidRPr="006442DC" w:rsidRDefault="0071379D" w:rsidP="0071379D">
            <w:pPr>
              <w:pStyle w:val="Textosinformato"/>
              <w:rPr>
                <w:rFonts w:ascii="Arial" w:hAnsi="Arial" w:cs="Arial"/>
                <w:sz w:val="22"/>
                <w:szCs w:val="22"/>
              </w:rPr>
            </w:pPr>
          </w:p>
          <w:p w14:paraId="5AFA730D" w14:textId="224AF5EB" w:rsidR="0071379D" w:rsidRDefault="008E53DE" w:rsidP="0071379D">
            <w:pPr>
              <w:pStyle w:val="Textosinformato"/>
              <w:numPr>
                <w:ilvl w:val="0"/>
                <w:numId w:val="4"/>
              </w:numPr>
              <w:rPr>
                <w:rFonts w:ascii="Arial" w:hAnsi="Arial" w:cs="Arial"/>
                <w:sz w:val="22"/>
                <w:szCs w:val="22"/>
              </w:rPr>
            </w:pPr>
            <w:r>
              <w:rPr>
                <w:rFonts w:ascii="Arial" w:hAnsi="Arial" w:cs="Arial"/>
                <w:sz w:val="22"/>
                <w:szCs w:val="22"/>
              </w:rPr>
              <w:t>Derecho de Consumo</w:t>
            </w:r>
          </w:p>
          <w:p w14:paraId="0B254DF9" w14:textId="77777777" w:rsidR="0069164D" w:rsidRDefault="00E12BED" w:rsidP="008E53DE">
            <w:pPr>
              <w:pStyle w:val="Textosinformato"/>
              <w:numPr>
                <w:ilvl w:val="0"/>
                <w:numId w:val="4"/>
              </w:numPr>
              <w:rPr>
                <w:rFonts w:ascii="Arial" w:eastAsia="Cambria" w:hAnsi="Arial" w:cs="Arial"/>
                <w:lang w:val="es-ES_tradnl"/>
              </w:rPr>
            </w:pPr>
            <w:r>
              <w:rPr>
                <w:rFonts w:ascii="Arial" w:eastAsia="Cambria" w:hAnsi="Arial" w:cs="Arial"/>
                <w:lang w:val="es-ES_tradnl"/>
              </w:rPr>
              <w:t>Dispositivos Móviles</w:t>
            </w:r>
          </w:p>
          <w:p w14:paraId="3E675768" w14:textId="77777777" w:rsidR="00E12BED" w:rsidRDefault="00E12BED" w:rsidP="008E53DE">
            <w:pPr>
              <w:pStyle w:val="Textosinformato"/>
              <w:numPr>
                <w:ilvl w:val="0"/>
                <w:numId w:val="4"/>
              </w:numPr>
              <w:rPr>
                <w:rFonts w:ascii="Arial" w:eastAsia="Cambria" w:hAnsi="Arial" w:cs="Arial"/>
                <w:lang w:val="es-ES_tradnl"/>
              </w:rPr>
            </w:pPr>
            <w:r>
              <w:rPr>
                <w:rFonts w:ascii="Arial" w:eastAsia="Cambria" w:hAnsi="Arial" w:cs="Arial"/>
                <w:lang w:val="es-ES_tradnl"/>
              </w:rPr>
              <w:t>Telecomunicaciones</w:t>
            </w:r>
          </w:p>
          <w:p w14:paraId="54AF8E39" w14:textId="77777777" w:rsidR="00E12BED" w:rsidRDefault="00E12BED" w:rsidP="008E53DE">
            <w:pPr>
              <w:pStyle w:val="Textosinformato"/>
              <w:numPr>
                <w:ilvl w:val="0"/>
                <w:numId w:val="4"/>
              </w:numPr>
              <w:rPr>
                <w:rFonts w:ascii="Arial" w:eastAsia="Cambria" w:hAnsi="Arial" w:cs="Arial"/>
                <w:lang w:val="es-ES_tradnl"/>
              </w:rPr>
            </w:pPr>
            <w:r>
              <w:rPr>
                <w:rFonts w:ascii="Arial" w:eastAsia="Cambria" w:hAnsi="Arial" w:cs="Arial"/>
                <w:lang w:val="es-ES_tradnl"/>
              </w:rPr>
              <w:t>Videojuegos</w:t>
            </w:r>
          </w:p>
          <w:p w14:paraId="19F7A236" w14:textId="77777777" w:rsidR="00E12BED" w:rsidRDefault="00E12BED" w:rsidP="008E53DE">
            <w:pPr>
              <w:pStyle w:val="Textosinformato"/>
              <w:numPr>
                <w:ilvl w:val="0"/>
                <w:numId w:val="4"/>
              </w:numPr>
              <w:rPr>
                <w:rFonts w:ascii="Arial" w:eastAsia="Cambria" w:hAnsi="Arial" w:cs="Arial"/>
                <w:lang w:val="es-ES_tradnl"/>
              </w:rPr>
            </w:pPr>
            <w:r>
              <w:rPr>
                <w:rFonts w:ascii="Arial" w:eastAsia="Cambria" w:hAnsi="Arial" w:cs="Arial"/>
                <w:lang w:val="es-ES_tradnl"/>
              </w:rPr>
              <w:t>Riesgo para Menores</w:t>
            </w:r>
          </w:p>
          <w:p w14:paraId="3A02FF0C" w14:textId="18A29685" w:rsidR="00E12BED" w:rsidRPr="00BD7E65" w:rsidRDefault="00BD7E65" w:rsidP="008E53DE">
            <w:pPr>
              <w:pStyle w:val="Textosinformato"/>
              <w:numPr>
                <w:ilvl w:val="0"/>
                <w:numId w:val="4"/>
              </w:numPr>
              <w:rPr>
                <w:rFonts w:ascii="Arial" w:eastAsia="Cambria" w:hAnsi="Arial" w:cs="Arial"/>
                <w:i/>
                <w:iCs/>
                <w:lang w:val="es-ES_tradnl"/>
              </w:rPr>
            </w:pPr>
            <w:r>
              <w:rPr>
                <w:rFonts w:ascii="Arial" w:eastAsia="Cambria" w:hAnsi="Arial" w:cs="Arial"/>
                <w:i/>
                <w:iCs/>
                <w:lang w:val="es-ES_tradnl"/>
              </w:rPr>
              <w:t>Cyberb</w:t>
            </w:r>
            <w:r w:rsidR="00E12BED" w:rsidRPr="00BD7E65">
              <w:rPr>
                <w:rFonts w:ascii="Arial" w:eastAsia="Cambria" w:hAnsi="Arial" w:cs="Arial"/>
                <w:i/>
                <w:iCs/>
                <w:lang w:val="es-ES_tradnl"/>
              </w:rPr>
              <w:t>ullying</w:t>
            </w:r>
          </w:p>
          <w:p w14:paraId="45F84786" w14:textId="794A1EAD" w:rsidR="00BD7E65" w:rsidRPr="006442DC" w:rsidRDefault="00BD7E65" w:rsidP="008E53DE">
            <w:pPr>
              <w:pStyle w:val="Textosinformato"/>
              <w:numPr>
                <w:ilvl w:val="0"/>
                <w:numId w:val="4"/>
              </w:numPr>
              <w:rPr>
                <w:rFonts w:ascii="Arial" w:eastAsia="Cambria" w:hAnsi="Arial" w:cs="Arial"/>
                <w:lang w:val="es-ES_tradnl"/>
              </w:rPr>
            </w:pPr>
            <w:r>
              <w:rPr>
                <w:rFonts w:ascii="Arial" w:eastAsia="Cambria" w:hAnsi="Arial" w:cs="Arial"/>
                <w:lang w:val="es-ES_tradnl"/>
              </w:rPr>
              <w:t>Violencia</w:t>
            </w:r>
          </w:p>
        </w:tc>
      </w:tr>
      <w:tr w:rsidR="0069164D" w:rsidRPr="006442DC" w14:paraId="038F1494" w14:textId="77777777" w:rsidTr="00963E61">
        <w:tc>
          <w:tcPr>
            <w:tcW w:w="9780" w:type="dxa"/>
            <w:gridSpan w:val="2"/>
            <w:tcBorders>
              <w:top w:val="single" w:sz="4" w:space="0" w:color="000000"/>
              <w:left w:val="single" w:sz="4" w:space="0" w:color="000000"/>
              <w:bottom w:val="single" w:sz="4" w:space="0" w:color="000000"/>
              <w:right w:val="single" w:sz="4" w:space="0" w:color="000000"/>
            </w:tcBorders>
          </w:tcPr>
          <w:p w14:paraId="6C747EE6" w14:textId="0D40C9B0" w:rsidR="0071379D" w:rsidRDefault="0071379D" w:rsidP="0071379D">
            <w:pPr>
              <w:spacing w:before="240" w:line="240" w:lineRule="auto"/>
              <w:jc w:val="both"/>
              <w:rPr>
                <w:rFonts w:ascii="Arial" w:eastAsia="Cambria" w:hAnsi="Arial" w:cs="Arial"/>
                <w:lang w:val="es-ES_tradnl"/>
              </w:rPr>
            </w:pPr>
            <w:r w:rsidRPr="00A11360">
              <w:rPr>
                <w:rFonts w:ascii="Arial" w:eastAsia="Cambria" w:hAnsi="Arial" w:cs="Arial"/>
                <w:b/>
                <w:lang w:val="es-ES_tradnl"/>
              </w:rPr>
              <w:t>Estado:</w:t>
            </w:r>
            <w:r w:rsidRPr="00A11360">
              <w:rPr>
                <w:rFonts w:ascii="Arial" w:eastAsia="Cambria" w:hAnsi="Arial" w:cs="Arial"/>
                <w:lang w:val="es-ES_tradnl"/>
              </w:rPr>
              <w:t xml:space="preserve"> Primer trámite </w:t>
            </w:r>
            <w:r>
              <w:rPr>
                <w:rFonts w:ascii="Arial" w:eastAsia="Cambria" w:hAnsi="Arial" w:cs="Arial"/>
                <w:lang w:val="es-ES_tradnl"/>
              </w:rPr>
              <w:t>c</w:t>
            </w:r>
            <w:r w:rsidRPr="00A11360">
              <w:rPr>
                <w:rFonts w:ascii="Arial" w:eastAsia="Cambria" w:hAnsi="Arial" w:cs="Arial"/>
                <w:lang w:val="es-ES_tradnl"/>
              </w:rPr>
              <w:t xml:space="preserve">onstitucional/Comisión </w:t>
            </w:r>
            <w:r w:rsidR="000237A9" w:rsidRPr="000237A9">
              <w:rPr>
                <w:rFonts w:ascii="Arial" w:eastAsia="Cambria" w:hAnsi="Arial" w:cs="Arial"/>
                <w:lang w:val="es-ES_tradnl"/>
              </w:rPr>
              <w:t>de Futuro, Ciencias, Tecnología, Conocimiento e Innovación</w:t>
            </w:r>
            <w:r w:rsidR="000237A9">
              <w:rPr>
                <w:rFonts w:ascii="Arial" w:eastAsia="Cambria" w:hAnsi="Arial" w:cs="Arial"/>
                <w:lang w:val="es-ES_tradnl"/>
              </w:rPr>
              <w:t xml:space="preserve"> de la Cámara de Diputados</w:t>
            </w:r>
          </w:p>
          <w:p w14:paraId="243F0FB4" w14:textId="43E20F0D" w:rsidR="004C20BA" w:rsidRDefault="0071379D" w:rsidP="004C20BA">
            <w:pPr>
              <w:spacing w:before="240" w:line="240" w:lineRule="auto"/>
              <w:jc w:val="both"/>
              <w:rPr>
                <w:rFonts w:ascii="Arial" w:eastAsia="Cambria" w:hAnsi="Arial" w:cs="Arial"/>
                <w:lang w:val="es-ES_tradnl"/>
              </w:rPr>
            </w:pPr>
            <w:r>
              <w:rPr>
                <w:rFonts w:ascii="Arial" w:eastAsia="Cambria" w:hAnsi="Arial" w:cs="Arial"/>
                <w:lang w:val="es-ES_tradnl"/>
              </w:rPr>
              <w:t xml:space="preserve">              </w:t>
            </w:r>
            <w:r w:rsidR="00FB24D8">
              <w:rPr>
                <w:rFonts w:ascii="Arial" w:eastAsia="Cambria" w:hAnsi="Arial" w:cs="Arial"/>
                <w:u w:val="single"/>
                <w:lang w:val="es-ES_tradnl"/>
              </w:rPr>
              <w:t>05</w:t>
            </w:r>
            <w:r w:rsidR="004A4999" w:rsidRPr="004A4999">
              <w:rPr>
                <w:rFonts w:ascii="Arial" w:eastAsia="Cambria" w:hAnsi="Arial" w:cs="Arial"/>
                <w:u w:val="single"/>
                <w:lang w:val="es-ES_tradnl"/>
              </w:rPr>
              <w:t>/</w:t>
            </w:r>
            <w:r w:rsidR="000D6D7F">
              <w:rPr>
                <w:rFonts w:ascii="Arial" w:eastAsia="Cambria" w:hAnsi="Arial" w:cs="Arial"/>
                <w:u w:val="single"/>
                <w:lang w:val="es-ES_tradnl"/>
              </w:rPr>
              <w:t>0</w:t>
            </w:r>
            <w:r w:rsidR="00FB24D8">
              <w:rPr>
                <w:rFonts w:ascii="Arial" w:eastAsia="Cambria" w:hAnsi="Arial" w:cs="Arial"/>
                <w:u w:val="single"/>
                <w:lang w:val="es-ES_tradnl"/>
              </w:rPr>
              <w:t>6</w:t>
            </w:r>
            <w:r w:rsidR="004A4999" w:rsidRPr="004A4999">
              <w:rPr>
                <w:rFonts w:ascii="Arial" w:eastAsia="Cambria" w:hAnsi="Arial" w:cs="Arial"/>
                <w:u w:val="single"/>
                <w:lang w:val="es-ES_tradnl"/>
              </w:rPr>
              <w:t>/202</w:t>
            </w:r>
            <w:r w:rsidR="000D6D7F">
              <w:rPr>
                <w:rFonts w:ascii="Arial" w:eastAsia="Cambria" w:hAnsi="Arial" w:cs="Arial"/>
                <w:u w:val="single"/>
                <w:lang w:val="es-ES_tradnl"/>
              </w:rPr>
              <w:t>3</w:t>
            </w:r>
            <w:r w:rsidR="004A4999" w:rsidRPr="004A4999">
              <w:rPr>
                <w:rFonts w:ascii="Arial" w:eastAsia="Cambria" w:hAnsi="Arial" w:cs="Arial"/>
                <w:u w:val="single"/>
                <w:lang w:val="es-ES_tradnl"/>
              </w:rPr>
              <w:t>:</w:t>
            </w:r>
            <w:r w:rsidR="004A4999">
              <w:rPr>
                <w:rFonts w:ascii="Arial" w:eastAsia="Cambria" w:hAnsi="Arial" w:cs="Arial"/>
                <w:lang w:val="es-ES_tradnl"/>
              </w:rPr>
              <w:t xml:space="preserve"> </w:t>
            </w:r>
            <w:r w:rsidR="00FB24D8" w:rsidRPr="00FB24D8">
              <w:rPr>
                <w:rFonts w:ascii="Arial" w:eastAsia="Cambria" w:hAnsi="Arial" w:cs="Arial"/>
                <w:lang w:val="es-ES_tradnl"/>
              </w:rPr>
              <w:t>Oficio N° 18.418. Comunica que la Cámara de Diputados accedió a la fusión de los proyectos correspondientes a los boletines Nos. 12770-19, 14978-03 y 15020-19.</w:t>
            </w:r>
          </w:p>
          <w:p w14:paraId="78EE0517" w14:textId="60E0C35A" w:rsidR="002E7B46" w:rsidRPr="00A11360" w:rsidRDefault="002E7B46" w:rsidP="004C20BA">
            <w:pPr>
              <w:spacing w:before="240" w:line="240" w:lineRule="auto"/>
              <w:jc w:val="both"/>
              <w:rPr>
                <w:rFonts w:ascii="Arial" w:eastAsia="Cambria" w:hAnsi="Arial" w:cs="Arial"/>
                <w:lang w:val="es-ES_tradnl"/>
              </w:rPr>
            </w:pPr>
            <w:r>
              <w:rPr>
                <w:rFonts w:ascii="Arial" w:eastAsia="Cambria" w:hAnsi="Arial" w:cs="Arial"/>
                <w:lang w:val="es-ES_tradnl"/>
              </w:rPr>
              <w:lastRenderedPageBreak/>
              <w:t xml:space="preserve">El proyecto de ley no se encuentra en tabla para las próximas dos citaciones de la </w:t>
            </w:r>
            <w:r w:rsidR="00861BDF" w:rsidRPr="00861BDF">
              <w:rPr>
                <w:rFonts w:ascii="Arial" w:eastAsia="Cambria" w:hAnsi="Arial" w:cs="Arial"/>
                <w:lang w:val="es-ES_tradnl"/>
              </w:rPr>
              <w:t>Comisión de Futuro, Ciencias, Tecnología, Conocimiento e Innovación de la Cámara de Diputados</w:t>
            </w:r>
            <w:r>
              <w:rPr>
                <w:rFonts w:ascii="Arial" w:eastAsia="Cambria" w:hAnsi="Arial" w:cs="Arial"/>
                <w:lang w:val="es-ES_tradnl"/>
              </w:rPr>
              <w:t>.</w:t>
            </w:r>
            <w:r>
              <w:rPr>
                <w:rStyle w:val="Refdenotaalpie"/>
                <w:rFonts w:ascii="Arial" w:eastAsia="Cambria" w:hAnsi="Arial" w:cs="Arial"/>
                <w:lang w:val="es-ES_tradnl"/>
              </w:rPr>
              <w:footnoteReference w:id="1"/>
            </w:r>
          </w:p>
        </w:tc>
      </w:tr>
      <w:tr w:rsidR="0069164D" w:rsidRPr="006442DC" w14:paraId="0A9AEF6A" w14:textId="77777777" w:rsidTr="00963E61">
        <w:tc>
          <w:tcPr>
            <w:tcW w:w="9780" w:type="dxa"/>
            <w:gridSpan w:val="2"/>
            <w:tcBorders>
              <w:top w:val="single" w:sz="4" w:space="0" w:color="000000"/>
              <w:left w:val="single" w:sz="4" w:space="0" w:color="000000"/>
              <w:bottom w:val="single" w:sz="4" w:space="0" w:color="000000"/>
              <w:right w:val="single" w:sz="4" w:space="0" w:color="000000"/>
            </w:tcBorders>
          </w:tcPr>
          <w:p w14:paraId="0C43C737" w14:textId="77777777" w:rsidR="00E17597" w:rsidRPr="00977C82" w:rsidRDefault="00E17597" w:rsidP="00E17597">
            <w:pPr>
              <w:spacing w:before="240" w:line="240" w:lineRule="auto"/>
              <w:jc w:val="both"/>
              <w:rPr>
                <w:rFonts w:ascii="Arial" w:eastAsia="Cambria" w:hAnsi="Arial" w:cs="Arial"/>
                <w:b/>
                <w:u w:val="single"/>
                <w:lang w:val="es-ES_tradnl"/>
              </w:rPr>
            </w:pPr>
            <w:r w:rsidRPr="00977C82">
              <w:rPr>
                <w:rFonts w:ascii="Arial" w:eastAsia="Cambria" w:hAnsi="Arial" w:cs="Arial"/>
                <w:b/>
                <w:u w:val="single"/>
                <w:lang w:val="es-ES_tradnl"/>
              </w:rPr>
              <w:lastRenderedPageBreak/>
              <w:t>Antecedentes y Contenidos</w:t>
            </w:r>
          </w:p>
          <w:p w14:paraId="12465E7F" w14:textId="3B46BE37" w:rsidR="00861BDF" w:rsidRDefault="00355DCB" w:rsidP="00E17597">
            <w:pPr>
              <w:jc w:val="both"/>
              <w:textAlignment w:val="baseline"/>
              <w:rPr>
                <w:rFonts w:ascii="Arial" w:eastAsia="Cambria" w:hAnsi="Arial" w:cs="Arial"/>
                <w:lang w:val="es-ES_tradnl"/>
              </w:rPr>
            </w:pPr>
            <w:r>
              <w:rPr>
                <w:rFonts w:ascii="Arial" w:eastAsia="Cambria" w:hAnsi="Arial" w:cs="Arial"/>
                <w:lang w:val="es-ES_tradnl"/>
              </w:rPr>
              <w:t>Los tres proyectos de ley refundido</w:t>
            </w:r>
            <w:r w:rsidR="00511D6E">
              <w:rPr>
                <w:rFonts w:ascii="Arial" w:eastAsia="Cambria" w:hAnsi="Arial" w:cs="Arial"/>
                <w:lang w:val="es-ES_tradnl"/>
              </w:rPr>
              <w:t xml:space="preserve">s buscan un objetivo común: </w:t>
            </w:r>
            <w:r w:rsidR="0021719B">
              <w:rPr>
                <w:rFonts w:ascii="Arial" w:eastAsia="Cambria" w:hAnsi="Arial" w:cs="Arial"/>
                <w:lang w:val="es-ES_tradnl"/>
              </w:rPr>
              <w:t xml:space="preserve">disuadir </w:t>
            </w:r>
            <w:r w:rsidR="0016523D">
              <w:rPr>
                <w:rFonts w:ascii="Arial" w:eastAsia="Cambria" w:hAnsi="Arial" w:cs="Arial"/>
                <w:lang w:val="es-ES_tradnl"/>
              </w:rPr>
              <w:t>a los padres respecto del uso, por parte de sus hijos e hijas, de tecnologías que puedan resultarles dañinas</w:t>
            </w:r>
            <w:r w:rsidR="00755BBD">
              <w:rPr>
                <w:rFonts w:ascii="Arial" w:eastAsia="Cambria" w:hAnsi="Arial" w:cs="Arial"/>
                <w:lang w:val="es-ES_tradnl"/>
              </w:rPr>
              <w:t>, ya sea por su contenido violento</w:t>
            </w:r>
            <w:r w:rsidR="00BD67AC">
              <w:rPr>
                <w:rFonts w:ascii="Arial" w:eastAsia="Cambria" w:hAnsi="Arial" w:cs="Arial"/>
                <w:lang w:val="es-ES_tradnl"/>
              </w:rPr>
              <w:t xml:space="preserve">, por los problemas que apareja su consumo intensivo, o por el uso que puede </w:t>
            </w:r>
            <w:r w:rsidR="00A6172A">
              <w:rPr>
                <w:rFonts w:ascii="Arial" w:eastAsia="Cambria" w:hAnsi="Arial" w:cs="Arial"/>
                <w:lang w:val="es-ES_tradnl"/>
              </w:rPr>
              <w:t>dárseles</w:t>
            </w:r>
            <w:r w:rsidR="00BD67AC">
              <w:rPr>
                <w:rFonts w:ascii="Arial" w:eastAsia="Cambria" w:hAnsi="Arial" w:cs="Arial"/>
                <w:lang w:val="es-ES_tradnl"/>
              </w:rPr>
              <w:t xml:space="preserve"> para </w:t>
            </w:r>
            <w:r w:rsidR="00A6172A">
              <w:rPr>
                <w:rFonts w:ascii="Arial" w:eastAsia="Cambria" w:hAnsi="Arial" w:cs="Arial"/>
                <w:lang w:val="es-ES_tradnl"/>
              </w:rPr>
              <w:t>incurrir en conductas de cyberbullying.</w:t>
            </w:r>
          </w:p>
          <w:p w14:paraId="1BE27E03" w14:textId="1CD7F5E9" w:rsidR="00A6172A" w:rsidRDefault="00A6172A" w:rsidP="00E17597">
            <w:pPr>
              <w:jc w:val="both"/>
              <w:textAlignment w:val="baseline"/>
              <w:rPr>
                <w:rFonts w:ascii="Arial" w:eastAsia="Cambria" w:hAnsi="Arial" w:cs="Arial"/>
                <w:lang w:val="es-ES_tradnl"/>
              </w:rPr>
            </w:pPr>
            <w:r>
              <w:rPr>
                <w:rFonts w:ascii="Arial" w:eastAsia="Cambria" w:hAnsi="Arial" w:cs="Arial"/>
                <w:lang w:val="es-ES_tradnl"/>
              </w:rPr>
              <w:t xml:space="preserve">El boletín N° </w:t>
            </w:r>
            <w:r w:rsidRPr="00A6172A">
              <w:rPr>
                <w:rFonts w:ascii="Arial" w:eastAsia="Cambria" w:hAnsi="Arial" w:cs="Arial"/>
                <w:lang w:val="es-ES_tradnl"/>
              </w:rPr>
              <w:t>12770-19</w:t>
            </w:r>
            <w:r w:rsidR="009A7867">
              <w:rPr>
                <w:rFonts w:ascii="Arial" w:eastAsia="Cambria" w:hAnsi="Arial" w:cs="Arial"/>
                <w:lang w:val="es-ES_tradnl"/>
              </w:rPr>
              <w:t xml:space="preserve"> tiene por objetivo </w:t>
            </w:r>
            <w:r w:rsidR="009A7867" w:rsidRPr="009A7867">
              <w:rPr>
                <w:rFonts w:ascii="Arial" w:eastAsia="Cambria" w:hAnsi="Arial" w:cs="Arial"/>
                <w:lang w:val="es-ES_tradnl"/>
              </w:rPr>
              <w:t>incorporar un etiquetado en todos los productos tecnológicos que se encuentren a la venta en el mercado nacional, con la finalidad de educar y disuadir respecto al daño que este podría provocar en los niños, niñas y adolescentes.</w:t>
            </w:r>
            <w:r w:rsidR="009A7867">
              <w:rPr>
                <w:rFonts w:ascii="Arial" w:eastAsia="Cambria" w:hAnsi="Arial" w:cs="Arial"/>
                <w:lang w:val="es-ES_tradnl"/>
              </w:rPr>
              <w:t xml:space="preserve"> </w:t>
            </w:r>
            <w:r w:rsidR="006A4D0E">
              <w:rPr>
                <w:rFonts w:ascii="Arial" w:eastAsia="Cambria" w:hAnsi="Arial" w:cs="Arial"/>
                <w:lang w:val="es-ES_tradnl"/>
              </w:rPr>
              <w:t xml:space="preserve">En su fundamento, se encuentran investigaciones relacionadas al uso de tecnología por parte de menores de edad, que acarrea problemas como: déficit atencional, rabietas, </w:t>
            </w:r>
            <w:r w:rsidR="003F2526">
              <w:rPr>
                <w:rFonts w:ascii="Arial" w:eastAsia="Cambria" w:hAnsi="Arial" w:cs="Arial"/>
                <w:lang w:val="es-ES_tradnl"/>
              </w:rPr>
              <w:t>problemas de aprendizaje, sedentarismo, entre otros.</w:t>
            </w:r>
          </w:p>
          <w:p w14:paraId="6E3F2E8D" w14:textId="26077847" w:rsidR="003F2526" w:rsidRDefault="003F2526" w:rsidP="00E17597">
            <w:pPr>
              <w:jc w:val="both"/>
              <w:textAlignment w:val="baseline"/>
              <w:rPr>
                <w:rFonts w:ascii="Arial" w:eastAsia="Cambria" w:hAnsi="Arial" w:cs="Arial"/>
                <w:lang w:val="es-ES_tradnl"/>
              </w:rPr>
            </w:pPr>
            <w:r>
              <w:rPr>
                <w:rFonts w:ascii="Arial" w:eastAsia="Cambria" w:hAnsi="Arial" w:cs="Arial"/>
                <w:lang w:val="es-ES_tradnl"/>
              </w:rPr>
              <w:t xml:space="preserve">El boletín N° </w:t>
            </w:r>
            <w:r w:rsidR="00287A96" w:rsidRPr="00287A96">
              <w:rPr>
                <w:rFonts w:ascii="Arial" w:eastAsia="Cambria" w:hAnsi="Arial" w:cs="Arial"/>
                <w:lang w:val="es-ES_tradnl"/>
              </w:rPr>
              <w:t>14978-03</w:t>
            </w:r>
            <w:r w:rsidR="00287A96">
              <w:rPr>
                <w:rFonts w:ascii="Arial" w:eastAsia="Cambria" w:hAnsi="Arial" w:cs="Arial"/>
                <w:lang w:val="es-ES_tradnl"/>
              </w:rPr>
              <w:t xml:space="preserve"> busca un objetivo similar, pero en el campo de los videojuegos, y relativo a los niveles de violencia excesiva y otros contenidos para adultos que estos pueden poseer</w:t>
            </w:r>
            <w:r w:rsidR="000E6D6C">
              <w:rPr>
                <w:rFonts w:ascii="Arial" w:eastAsia="Cambria" w:hAnsi="Arial" w:cs="Arial"/>
                <w:lang w:val="es-ES_tradnl"/>
              </w:rPr>
              <w:t xml:space="preserve">. En este sentido, se buscan crear medios de publicidad que disuadan a los padres de adquirir dichos productos para sus hijos e hijas, </w:t>
            </w:r>
            <w:r w:rsidR="00972E0E">
              <w:rPr>
                <w:rFonts w:ascii="Arial" w:eastAsia="Cambria" w:hAnsi="Arial" w:cs="Arial"/>
                <w:lang w:val="es-ES_tradnl"/>
              </w:rPr>
              <w:t xml:space="preserve">por medio de advertencias visibles en las carátulas de los mismos. </w:t>
            </w:r>
            <w:r w:rsidR="00DE6473">
              <w:rPr>
                <w:rFonts w:ascii="Arial" w:eastAsia="Cambria" w:hAnsi="Arial" w:cs="Arial"/>
                <w:lang w:val="es-ES_tradnl"/>
              </w:rPr>
              <w:t>Su fundamento principal consiste en la evidencia científica que relaciona el desarrollo cerebral de los menores de edad con el consumo de videojuegos</w:t>
            </w:r>
            <w:r w:rsidR="00037AC2">
              <w:rPr>
                <w:rFonts w:ascii="Arial" w:eastAsia="Cambria" w:hAnsi="Arial" w:cs="Arial"/>
                <w:lang w:val="es-ES_tradnl"/>
              </w:rPr>
              <w:t>, resultando estos últimos en una influencia</w:t>
            </w:r>
            <w:r w:rsidR="00F10F28">
              <w:rPr>
                <w:rFonts w:ascii="Arial" w:eastAsia="Cambria" w:hAnsi="Arial" w:cs="Arial"/>
                <w:lang w:val="es-ES_tradnl"/>
              </w:rPr>
              <w:t xml:space="preserve"> a veces dañina.</w:t>
            </w:r>
          </w:p>
          <w:p w14:paraId="7930AD65" w14:textId="0CE03D17" w:rsidR="00355DCB" w:rsidRDefault="00F10F28" w:rsidP="00E17597">
            <w:pPr>
              <w:jc w:val="both"/>
              <w:textAlignment w:val="baseline"/>
              <w:rPr>
                <w:rFonts w:ascii="Arial" w:eastAsia="Cambria" w:hAnsi="Arial" w:cs="Arial"/>
                <w:lang w:val="es-ES_tradnl"/>
              </w:rPr>
            </w:pPr>
            <w:r>
              <w:rPr>
                <w:rFonts w:ascii="Arial" w:eastAsia="Cambria" w:hAnsi="Arial" w:cs="Arial"/>
                <w:lang w:val="es-ES_tradnl"/>
              </w:rPr>
              <w:t xml:space="preserve">El boletín N° </w:t>
            </w:r>
            <w:r w:rsidRPr="00F10F28">
              <w:rPr>
                <w:rFonts w:ascii="Arial" w:eastAsia="Cambria" w:hAnsi="Arial" w:cs="Arial"/>
                <w:lang w:val="es-ES_tradnl"/>
              </w:rPr>
              <w:t>15020-19</w:t>
            </w:r>
            <w:r>
              <w:rPr>
                <w:rFonts w:ascii="Arial" w:eastAsia="Cambria" w:hAnsi="Arial" w:cs="Arial"/>
                <w:lang w:val="es-ES_tradnl"/>
              </w:rPr>
              <w:t xml:space="preserve"> </w:t>
            </w:r>
            <w:r w:rsidR="004F7275">
              <w:rPr>
                <w:rFonts w:ascii="Arial" w:eastAsia="Cambria" w:hAnsi="Arial" w:cs="Arial"/>
                <w:lang w:val="es-ES_tradnl"/>
              </w:rPr>
              <w:t xml:space="preserve">tiene, por objetivo central, </w:t>
            </w:r>
            <w:r w:rsidR="00547E86">
              <w:rPr>
                <w:rFonts w:ascii="Arial" w:eastAsia="Cambria" w:hAnsi="Arial" w:cs="Arial"/>
                <w:lang w:val="es-ES_tradnl"/>
              </w:rPr>
              <w:t>impedir</w:t>
            </w:r>
            <w:r w:rsidR="004F7275">
              <w:rPr>
                <w:rFonts w:ascii="Arial" w:eastAsia="Cambria" w:hAnsi="Arial" w:cs="Arial"/>
                <w:lang w:val="es-ES_tradnl"/>
              </w:rPr>
              <w:t xml:space="preserve"> el uso de aparatos tecnológicos</w:t>
            </w:r>
            <w:r w:rsidR="00D13D9C">
              <w:rPr>
                <w:rFonts w:ascii="Arial" w:eastAsia="Cambria" w:hAnsi="Arial" w:cs="Arial"/>
                <w:lang w:val="es-ES_tradnl"/>
              </w:rPr>
              <w:t xml:space="preserve"> con fines de cyberbullying,</w:t>
            </w:r>
            <w:r w:rsidR="00547E86">
              <w:rPr>
                <w:rFonts w:ascii="Arial" w:eastAsia="Cambria" w:hAnsi="Arial" w:cs="Arial"/>
                <w:lang w:val="es-ES_tradnl"/>
              </w:rPr>
              <w:t xml:space="preserve"> por parte de menores de edad,</w:t>
            </w:r>
            <w:r w:rsidR="00D13D9C">
              <w:rPr>
                <w:rFonts w:ascii="Arial" w:eastAsia="Cambria" w:hAnsi="Arial" w:cs="Arial"/>
                <w:lang w:val="es-ES_tradnl"/>
              </w:rPr>
              <w:t xml:space="preserve"> imponiendo a los fabricantes </w:t>
            </w:r>
            <w:r w:rsidR="00547E86">
              <w:rPr>
                <w:rFonts w:ascii="Arial" w:eastAsia="Cambria" w:hAnsi="Arial" w:cs="Arial"/>
                <w:lang w:val="es-ES_tradnl"/>
              </w:rPr>
              <w:t xml:space="preserve">e importadores </w:t>
            </w:r>
            <w:r w:rsidR="00D13D9C">
              <w:rPr>
                <w:rFonts w:ascii="Arial" w:eastAsia="Cambria" w:hAnsi="Arial" w:cs="Arial"/>
                <w:lang w:val="es-ES_tradnl"/>
              </w:rPr>
              <w:t>el deber de</w:t>
            </w:r>
            <w:r w:rsidR="00547E86">
              <w:rPr>
                <w:rFonts w:ascii="Arial" w:eastAsia="Cambria" w:hAnsi="Arial" w:cs="Arial"/>
                <w:lang w:val="es-ES_tradnl"/>
              </w:rPr>
              <w:t xml:space="preserve"> incorporar leyendas disuasorias de dichas conductas. </w:t>
            </w:r>
            <w:r w:rsidR="002E4193">
              <w:rPr>
                <w:rFonts w:ascii="Arial" w:eastAsia="Cambria" w:hAnsi="Arial" w:cs="Arial"/>
                <w:lang w:val="es-ES_tradnl"/>
              </w:rPr>
              <w:t xml:space="preserve">El fundamento principal es la alta tasa de suicidios infanto-juveniles en Chile, </w:t>
            </w:r>
            <w:r w:rsidR="00833899">
              <w:rPr>
                <w:rFonts w:ascii="Arial" w:eastAsia="Cambria" w:hAnsi="Arial" w:cs="Arial"/>
                <w:lang w:val="es-ES_tradnl"/>
              </w:rPr>
              <w:t xml:space="preserve">su relación con el acoso </w:t>
            </w:r>
            <w:r w:rsidR="005977ED">
              <w:rPr>
                <w:rFonts w:ascii="Arial" w:eastAsia="Cambria" w:hAnsi="Arial" w:cs="Arial"/>
                <w:lang w:val="es-ES_tradnl"/>
              </w:rPr>
              <w:t xml:space="preserve">escolar, y las facilidades que las tecnologías ofrecen para ejercerlo con impunidad: </w:t>
            </w:r>
            <w:r w:rsidR="00C343B5">
              <w:rPr>
                <w:rFonts w:ascii="Arial" w:eastAsia="Cambria" w:hAnsi="Arial" w:cs="Arial"/>
                <w:lang w:val="es-ES_tradnl"/>
              </w:rPr>
              <w:t>la alta disponibilidad de nuevas tecnologías, el anonimato, la distancia física entre víctima y agresor que impide encararlo, entre otros.</w:t>
            </w:r>
          </w:p>
          <w:p w14:paraId="2C20F3A8" w14:textId="2604693F" w:rsidR="00E17597" w:rsidRDefault="00E17597" w:rsidP="00E17597">
            <w:pPr>
              <w:jc w:val="both"/>
              <w:textAlignment w:val="baseline"/>
              <w:rPr>
                <w:rFonts w:ascii="Arial" w:eastAsia="Cambria" w:hAnsi="Arial" w:cs="Arial"/>
                <w:b/>
                <w:u w:val="single"/>
                <w:lang w:val="es-ES_tradnl"/>
              </w:rPr>
            </w:pPr>
            <w:r w:rsidRPr="00AD0D7B">
              <w:rPr>
                <w:rFonts w:ascii="Arial" w:eastAsia="Cambria" w:hAnsi="Arial" w:cs="Arial"/>
                <w:b/>
                <w:u w:val="single"/>
                <w:lang w:val="es-ES_tradnl"/>
              </w:rPr>
              <w:t>Contenido del Proyecto</w:t>
            </w:r>
          </w:p>
          <w:p w14:paraId="203C3BEE" w14:textId="77777777" w:rsidR="00E94323" w:rsidRDefault="00C343B5" w:rsidP="00861BDF">
            <w:pPr>
              <w:jc w:val="both"/>
              <w:textAlignment w:val="baseline"/>
              <w:rPr>
                <w:rFonts w:ascii="Arial" w:eastAsia="Cambria" w:hAnsi="Arial" w:cs="Arial"/>
                <w:lang w:val="es-ES_tradnl"/>
              </w:rPr>
            </w:pPr>
            <w:r>
              <w:rPr>
                <w:rFonts w:ascii="Arial" w:eastAsia="Cambria" w:hAnsi="Arial" w:cs="Arial"/>
                <w:lang w:val="es-ES_tradnl"/>
              </w:rPr>
              <w:t xml:space="preserve">El boletín N° </w:t>
            </w:r>
            <w:r w:rsidRPr="00A6172A">
              <w:rPr>
                <w:rFonts w:ascii="Arial" w:eastAsia="Cambria" w:hAnsi="Arial" w:cs="Arial"/>
                <w:lang w:val="es-ES_tradnl"/>
              </w:rPr>
              <w:t>12770-19</w:t>
            </w:r>
            <w:r>
              <w:rPr>
                <w:rFonts w:ascii="Arial" w:eastAsia="Cambria" w:hAnsi="Arial" w:cs="Arial"/>
                <w:lang w:val="es-ES_tradnl"/>
              </w:rPr>
              <w:t xml:space="preserve"> </w:t>
            </w:r>
            <w:r w:rsidR="00B86AC7">
              <w:rPr>
                <w:rFonts w:ascii="Arial" w:eastAsia="Cambria" w:hAnsi="Arial" w:cs="Arial"/>
                <w:lang w:val="es-ES_tradnl"/>
              </w:rPr>
              <w:t xml:space="preserve">contiene un </w:t>
            </w:r>
            <w:r w:rsidR="00973240">
              <w:rPr>
                <w:rFonts w:ascii="Arial" w:eastAsia="Cambria" w:hAnsi="Arial" w:cs="Arial"/>
                <w:lang w:val="es-ES_tradnl"/>
              </w:rPr>
              <w:t>artículo único</w:t>
            </w:r>
            <w:r w:rsidR="00B86AC7">
              <w:rPr>
                <w:rFonts w:ascii="Arial" w:eastAsia="Cambria" w:hAnsi="Arial" w:cs="Arial"/>
                <w:lang w:val="es-ES_tradnl"/>
              </w:rPr>
              <w:t>, que agrega un nuevo inciso al articulo 33 de la</w:t>
            </w:r>
            <w:r w:rsidR="00973240">
              <w:rPr>
                <w:rFonts w:ascii="Arial" w:eastAsia="Cambria" w:hAnsi="Arial" w:cs="Arial"/>
                <w:lang w:val="es-ES_tradnl"/>
              </w:rPr>
              <w:t xml:space="preserve"> Ley sobre Protección de los Derechos de los Consumidores.</w:t>
            </w:r>
          </w:p>
          <w:p w14:paraId="669CED16" w14:textId="77777777" w:rsidR="00973240" w:rsidRDefault="00973240" w:rsidP="00861BDF">
            <w:pPr>
              <w:jc w:val="both"/>
              <w:textAlignment w:val="baseline"/>
              <w:rPr>
                <w:rFonts w:ascii="Arial" w:eastAsia="Cambria" w:hAnsi="Arial" w:cs="Arial"/>
                <w:lang w:val="es-ES_tradnl"/>
              </w:rPr>
            </w:pPr>
            <w:r>
              <w:rPr>
                <w:rFonts w:ascii="Arial" w:eastAsia="Cambria" w:hAnsi="Arial" w:cs="Arial"/>
                <w:lang w:val="es-ES_tradnl"/>
              </w:rPr>
              <w:t xml:space="preserve">El boletín N° </w:t>
            </w:r>
            <w:r w:rsidRPr="00287A96">
              <w:rPr>
                <w:rFonts w:ascii="Arial" w:eastAsia="Cambria" w:hAnsi="Arial" w:cs="Arial"/>
                <w:lang w:val="es-ES_tradnl"/>
              </w:rPr>
              <w:t>14978-03</w:t>
            </w:r>
            <w:r>
              <w:rPr>
                <w:rFonts w:ascii="Arial" w:eastAsia="Cambria" w:hAnsi="Arial" w:cs="Arial"/>
                <w:lang w:val="es-ES_tradnl"/>
              </w:rPr>
              <w:t xml:space="preserve"> contiene un artículo único, que </w:t>
            </w:r>
            <w:r w:rsidR="00E6295A">
              <w:rPr>
                <w:rFonts w:ascii="Arial" w:eastAsia="Cambria" w:hAnsi="Arial" w:cs="Arial"/>
                <w:lang w:val="es-ES_tradnl"/>
              </w:rPr>
              <w:t>introduce dos cambios a la Ley sobre Protección de los Derechos de los Consumidores: crea un articulo nuevo, el 28C; e incorpora dos incisos al artículo 49 bis.</w:t>
            </w:r>
          </w:p>
          <w:p w14:paraId="47A4714A" w14:textId="0F4C6573" w:rsidR="00E6295A" w:rsidRPr="00861BDF" w:rsidRDefault="00E6295A" w:rsidP="00861BDF">
            <w:pPr>
              <w:jc w:val="both"/>
              <w:textAlignment w:val="baseline"/>
              <w:rPr>
                <w:rFonts w:ascii="Arial" w:eastAsia="Cambria" w:hAnsi="Arial" w:cs="Arial"/>
                <w:lang w:val="es-ES_tradnl"/>
              </w:rPr>
            </w:pPr>
            <w:r>
              <w:rPr>
                <w:rFonts w:ascii="Arial" w:eastAsia="Cambria" w:hAnsi="Arial" w:cs="Arial"/>
                <w:lang w:val="es-ES_tradnl"/>
              </w:rPr>
              <w:lastRenderedPageBreak/>
              <w:t xml:space="preserve">El boletín N° </w:t>
            </w:r>
            <w:r w:rsidRPr="00F10F28">
              <w:rPr>
                <w:rFonts w:ascii="Arial" w:eastAsia="Cambria" w:hAnsi="Arial" w:cs="Arial"/>
                <w:lang w:val="es-ES_tradnl"/>
              </w:rPr>
              <w:t>15020-19</w:t>
            </w:r>
            <w:r>
              <w:rPr>
                <w:rFonts w:ascii="Arial" w:eastAsia="Cambria" w:hAnsi="Arial" w:cs="Arial"/>
                <w:lang w:val="es-ES_tradnl"/>
              </w:rPr>
              <w:t xml:space="preserve"> </w:t>
            </w:r>
            <w:r w:rsidR="00D355DF">
              <w:rPr>
                <w:rFonts w:ascii="Arial" w:eastAsia="Cambria" w:hAnsi="Arial" w:cs="Arial"/>
                <w:lang w:val="es-ES_tradnl"/>
              </w:rPr>
              <w:t>contiene un artículo único que crea un agrega un nuevo artículo 49 ter en al Ley sobre Protección de los Derechos de los Consumidores.</w:t>
            </w:r>
          </w:p>
        </w:tc>
      </w:tr>
      <w:tr w:rsidR="0069164D" w:rsidRPr="001C05A0" w14:paraId="0E19362E" w14:textId="77777777" w:rsidTr="00963E61">
        <w:tc>
          <w:tcPr>
            <w:tcW w:w="9780" w:type="dxa"/>
            <w:gridSpan w:val="2"/>
            <w:tcBorders>
              <w:top w:val="single" w:sz="4" w:space="0" w:color="000000"/>
              <w:left w:val="single" w:sz="4" w:space="0" w:color="000000"/>
              <w:bottom w:val="single" w:sz="4" w:space="0" w:color="000000"/>
              <w:right w:val="single" w:sz="4" w:space="0" w:color="000000"/>
            </w:tcBorders>
          </w:tcPr>
          <w:p w14:paraId="53FB6F23" w14:textId="77777777" w:rsidR="0069164D" w:rsidRPr="00A57123" w:rsidRDefault="001701FD" w:rsidP="001701FD">
            <w:pPr>
              <w:spacing w:before="240" w:line="240" w:lineRule="auto"/>
              <w:jc w:val="center"/>
              <w:rPr>
                <w:rFonts w:ascii="Arial" w:eastAsia="Cambria" w:hAnsi="Arial" w:cs="Arial"/>
                <w:b/>
                <w:bCs/>
              </w:rPr>
            </w:pPr>
            <w:r w:rsidRPr="00A57123">
              <w:rPr>
                <w:rFonts w:ascii="Arial" w:eastAsia="Cambria" w:hAnsi="Arial" w:cs="Arial"/>
                <w:b/>
                <w:bCs/>
              </w:rPr>
              <w:lastRenderedPageBreak/>
              <w:t>Proyecto de Ley Original</w:t>
            </w:r>
          </w:p>
          <w:p w14:paraId="255F921F" w14:textId="77777777" w:rsidR="001701FD" w:rsidRDefault="00620D4E" w:rsidP="00620D4E">
            <w:pPr>
              <w:spacing w:before="240" w:line="240" w:lineRule="auto"/>
              <w:jc w:val="center"/>
              <w:rPr>
                <w:rFonts w:ascii="Arial" w:eastAsia="Cambria" w:hAnsi="Arial" w:cs="Arial"/>
                <w:b/>
                <w:bCs/>
              </w:rPr>
            </w:pPr>
            <w:r w:rsidRPr="00620D4E">
              <w:rPr>
                <w:rFonts w:ascii="Arial" w:eastAsia="Cambria" w:hAnsi="Arial" w:cs="Arial"/>
                <w:b/>
                <w:bCs/>
              </w:rPr>
              <w:t>Boletín N° 12770-19</w:t>
            </w:r>
          </w:p>
          <w:p w14:paraId="6F3F31F2" w14:textId="6B2E046B" w:rsidR="008C258A" w:rsidRPr="008C258A" w:rsidRDefault="008C258A" w:rsidP="008C258A">
            <w:pPr>
              <w:spacing w:before="240" w:line="240" w:lineRule="auto"/>
              <w:jc w:val="both"/>
              <w:rPr>
                <w:rFonts w:ascii="Arial" w:eastAsia="Cambria" w:hAnsi="Arial" w:cs="Arial"/>
              </w:rPr>
            </w:pPr>
            <w:r w:rsidRPr="008C258A">
              <w:rPr>
                <w:rFonts w:ascii="Arial" w:eastAsia="Cambria" w:hAnsi="Arial" w:cs="Arial"/>
                <w:b/>
                <w:bCs/>
              </w:rPr>
              <w:t>Artículo Único:</w:t>
            </w:r>
            <w:r>
              <w:rPr>
                <w:rFonts w:ascii="Arial" w:eastAsia="Cambria" w:hAnsi="Arial" w:cs="Arial"/>
              </w:rPr>
              <w:t xml:space="preserve"> </w:t>
            </w:r>
            <w:r w:rsidRPr="008C258A">
              <w:rPr>
                <w:rFonts w:ascii="Arial" w:eastAsia="Cambria" w:hAnsi="Arial" w:cs="Arial"/>
              </w:rPr>
              <w:t xml:space="preserve"> Modificase la ley 19.496 sobre protección de los derechos de los consumidores, en el siguiente sentido:</w:t>
            </w:r>
          </w:p>
          <w:p w14:paraId="666C0DBE" w14:textId="3E3E62CC" w:rsidR="008C258A" w:rsidRPr="008C258A" w:rsidRDefault="008C258A" w:rsidP="008C258A">
            <w:pPr>
              <w:pStyle w:val="Prrafodelista"/>
              <w:numPr>
                <w:ilvl w:val="0"/>
                <w:numId w:val="20"/>
              </w:numPr>
              <w:spacing w:before="240" w:line="240" w:lineRule="auto"/>
              <w:jc w:val="both"/>
              <w:rPr>
                <w:rFonts w:ascii="Arial" w:eastAsia="Cambria" w:hAnsi="Arial" w:cs="Arial"/>
              </w:rPr>
            </w:pPr>
            <w:r w:rsidRPr="008C258A">
              <w:rPr>
                <w:rFonts w:ascii="Arial" w:eastAsia="Cambria" w:hAnsi="Arial" w:cs="Arial"/>
              </w:rPr>
              <w:t>Incorpórese en el artículo 33, un nuevo inciso segundo, pasando el actual a ser el inciso final, del siguiente tenor:</w:t>
            </w:r>
          </w:p>
          <w:p w14:paraId="37C56A30" w14:textId="77777777" w:rsidR="00620D4E" w:rsidRDefault="008C258A" w:rsidP="008C258A">
            <w:pPr>
              <w:spacing w:before="240" w:line="240" w:lineRule="auto"/>
              <w:ind w:left="360"/>
              <w:jc w:val="both"/>
              <w:rPr>
                <w:rFonts w:ascii="Arial" w:eastAsia="Cambria" w:hAnsi="Arial" w:cs="Arial"/>
                <w:i/>
                <w:iCs/>
              </w:rPr>
            </w:pPr>
            <w:r w:rsidRPr="008C258A">
              <w:rPr>
                <w:rFonts w:ascii="Arial" w:eastAsia="Cambria" w:hAnsi="Arial" w:cs="Arial"/>
                <w:i/>
                <w:iCs/>
              </w:rPr>
              <w:t>“tratándose del etiquetado de los productos tecnológicos tales como celulares, tablets, televisores, video juegos u otros de similares características y uso, deberán consignar una advertencia sobre los peligros del uso desmedido e incontrolado en menores de 2 años. El contenido y forma del etiquetado será fijado por el reglamento respectivo teniendo en consideración la responsabilidad parental, tiempo adecuado de uso y daños provocados a la salud.”</w:t>
            </w:r>
          </w:p>
          <w:p w14:paraId="181D2F16" w14:textId="77777777" w:rsidR="008C258A" w:rsidRPr="002E6665" w:rsidRDefault="008C258A" w:rsidP="008C258A">
            <w:pPr>
              <w:spacing w:before="240" w:line="240" w:lineRule="auto"/>
              <w:jc w:val="center"/>
              <w:rPr>
                <w:rFonts w:ascii="Arial" w:eastAsia="Cambria" w:hAnsi="Arial" w:cs="Arial"/>
                <w:b/>
                <w:bCs/>
              </w:rPr>
            </w:pPr>
            <w:r w:rsidRPr="002E6665">
              <w:rPr>
                <w:rFonts w:ascii="Arial" w:eastAsia="Cambria" w:hAnsi="Arial" w:cs="Arial"/>
                <w:b/>
                <w:bCs/>
              </w:rPr>
              <w:t>Boletín N° 14978-03</w:t>
            </w:r>
          </w:p>
          <w:p w14:paraId="5CA1BEB7" w14:textId="77777777" w:rsidR="006F3EE3" w:rsidRDefault="00F53548" w:rsidP="006F3EE3">
            <w:pPr>
              <w:spacing w:before="240" w:line="240" w:lineRule="auto"/>
              <w:jc w:val="both"/>
              <w:rPr>
                <w:rFonts w:ascii="Arial" w:eastAsia="Cambria" w:hAnsi="Arial" w:cs="Arial"/>
              </w:rPr>
            </w:pPr>
            <w:r w:rsidRPr="002E6665">
              <w:rPr>
                <w:rFonts w:ascii="Arial" w:eastAsia="Cambria" w:hAnsi="Arial" w:cs="Arial"/>
                <w:b/>
                <w:bCs/>
              </w:rPr>
              <w:t>Artículo Único:</w:t>
            </w:r>
            <w:r w:rsidRPr="00F53548">
              <w:rPr>
                <w:rFonts w:ascii="Arial" w:eastAsia="Cambria" w:hAnsi="Arial" w:cs="Arial"/>
              </w:rPr>
              <w:t xml:space="preserve"> Introdúcense las siguientes modificaciones a la Ley N° 19.496 que establece</w:t>
            </w:r>
            <w:r w:rsidR="006F3EE3">
              <w:rPr>
                <w:rFonts w:ascii="Arial" w:eastAsia="Cambria" w:hAnsi="Arial" w:cs="Arial"/>
              </w:rPr>
              <w:t xml:space="preserve"> </w:t>
            </w:r>
            <w:r w:rsidRPr="00F53548">
              <w:rPr>
                <w:rFonts w:ascii="Arial" w:eastAsia="Cambria" w:hAnsi="Arial" w:cs="Arial"/>
              </w:rPr>
              <w:t>normas sobre protección de los derechos de los consumidores, cuyo texto refundido, coordinado</w:t>
            </w:r>
            <w:r w:rsidR="006F3EE3">
              <w:rPr>
                <w:rFonts w:ascii="Arial" w:eastAsia="Cambria" w:hAnsi="Arial" w:cs="Arial"/>
              </w:rPr>
              <w:t xml:space="preserve"> </w:t>
            </w:r>
            <w:r w:rsidRPr="00F53548">
              <w:rPr>
                <w:rFonts w:ascii="Arial" w:eastAsia="Cambria" w:hAnsi="Arial" w:cs="Arial"/>
              </w:rPr>
              <w:t>y sistematizado ha sido fijado por el Decreto con Fuerza de Ley N° 3 de 31 de mayo de 2021:</w:t>
            </w:r>
            <w:r w:rsidR="006F3EE3">
              <w:rPr>
                <w:rFonts w:ascii="Arial" w:eastAsia="Cambria" w:hAnsi="Arial" w:cs="Arial"/>
              </w:rPr>
              <w:t xml:space="preserve"> </w:t>
            </w:r>
          </w:p>
          <w:p w14:paraId="06C3C447" w14:textId="77777777" w:rsidR="000D012F" w:rsidRDefault="00F53548" w:rsidP="006F3EE3">
            <w:pPr>
              <w:pStyle w:val="Prrafodelista"/>
              <w:numPr>
                <w:ilvl w:val="0"/>
                <w:numId w:val="21"/>
              </w:numPr>
              <w:spacing w:before="240" w:line="240" w:lineRule="auto"/>
              <w:jc w:val="both"/>
              <w:rPr>
                <w:rFonts w:ascii="Arial" w:eastAsia="Cambria" w:hAnsi="Arial" w:cs="Arial"/>
              </w:rPr>
            </w:pPr>
            <w:r w:rsidRPr="006F3EE3">
              <w:rPr>
                <w:rFonts w:ascii="Arial" w:eastAsia="Cambria" w:hAnsi="Arial" w:cs="Arial"/>
              </w:rPr>
              <w:t>Introdúcese un nuevo artículo 28 C, del siguiente tenor:</w:t>
            </w:r>
          </w:p>
          <w:p w14:paraId="7C2F8FE2" w14:textId="77777777" w:rsidR="000D012F" w:rsidRDefault="000D012F" w:rsidP="000D012F">
            <w:pPr>
              <w:pStyle w:val="Prrafodelista"/>
              <w:spacing w:before="240" w:line="240" w:lineRule="auto"/>
              <w:jc w:val="both"/>
              <w:rPr>
                <w:rFonts w:ascii="Arial" w:eastAsia="Cambria" w:hAnsi="Arial" w:cs="Arial"/>
              </w:rPr>
            </w:pPr>
          </w:p>
          <w:p w14:paraId="349B19B4" w14:textId="77777777" w:rsidR="002E6665" w:rsidRPr="002E6665" w:rsidRDefault="00F53548" w:rsidP="000D012F">
            <w:pPr>
              <w:pStyle w:val="Prrafodelista"/>
              <w:spacing w:before="240" w:line="240" w:lineRule="auto"/>
              <w:jc w:val="both"/>
              <w:rPr>
                <w:rFonts w:ascii="Arial" w:eastAsia="Cambria" w:hAnsi="Arial" w:cs="Arial"/>
                <w:i/>
                <w:iCs/>
              </w:rPr>
            </w:pPr>
            <w:r w:rsidRPr="002E6665">
              <w:rPr>
                <w:rFonts w:ascii="Arial" w:eastAsia="Cambria" w:hAnsi="Arial" w:cs="Arial"/>
                <w:i/>
                <w:iCs/>
              </w:rPr>
              <w:t>“Toda publicidad sobre videojuegos, ya sea que fuere implementada por sus fabricantes,</w:t>
            </w:r>
            <w:r w:rsidR="006F3EE3" w:rsidRPr="002E6665">
              <w:rPr>
                <w:rFonts w:ascii="Arial" w:eastAsia="Cambria" w:hAnsi="Arial" w:cs="Arial"/>
                <w:i/>
                <w:iCs/>
              </w:rPr>
              <w:t xml:space="preserve"> </w:t>
            </w:r>
            <w:r w:rsidRPr="002E6665">
              <w:rPr>
                <w:rFonts w:ascii="Arial" w:eastAsia="Cambria" w:hAnsi="Arial" w:cs="Arial"/>
                <w:i/>
                <w:iCs/>
              </w:rPr>
              <w:t>comercializadores, desarrolladores o por proveedores de servicios que permiten el</w:t>
            </w:r>
            <w:r w:rsidR="006F3EE3" w:rsidRPr="002E6665">
              <w:rPr>
                <w:rFonts w:ascii="Arial" w:eastAsia="Cambria" w:hAnsi="Arial" w:cs="Arial"/>
                <w:i/>
                <w:iCs/>
              </w:rPr>
              <w:t xml:space="preserve"> </w:t>
            </w:r>
            <w:r w:rsidRPr="002E6665">
              <w:rPr>
                <w:rFonts w:ascii="Arial" w:eastAsia="Cambria" w:hAnsi="Arial" w:cs="Arial"/>
                <w:i/>
                <w:iCs/>
              </w:rPr>
              <w:t>acceso digital a estos, deberá cumplir con la obligación de advertir sobre el nivel de</w:t>
            </w:r>
            <w:r w:rsidR="006F3EE3" w:rsidRPr="002E6665">
              <w:rPr>
                <w:rFonts w:ascii="Arial" w:eastAsia="Cambria" w:hAnsi="Arial" w:cs="Arial"/>
                <w:i/>
                <w:iCs/>
              </w:rPr>
              <w:t xml:space="preserve"> </w:t>
            </w:r>
            <w:r w:rsidRPr="002E6665">
              <w:rPr>
                <w:rFonts w:ascii="Arial" w:eastAsia="Cambria" w:hAnsi="Arial" w:cs="Arial"/>
                <w:i/>
                <w:iCs/>
              </w:rPr>
              <w:t>violencia presente en el videojuego respectivo que consagra el artículo 49 bis de esta</w:t>
            </w:r>
            <w:r w:rsidR="006F3EE3" w:rsidRPr="002E6665">
              <w:rPr>
                <w:rFonts w:ascii="Arial" w:eastAsia="Cambria" w:hAnsi="Arial" w:cs="Arial"/>
                <w:i/>
                <w:iCs/>
              </w:rPr>
              <w:t xml:space="preserve"> </w:t>
            </w:r>
            <w:r w:rsidRPr="002E6665">
              <w:rPr>
                <w:rFonts w:ascii="Arial" w:eastAsia="Cambria" w:hAnsi="Arial" w:cs="Arial"/>
                <w:i/>
                <w:iCs/>
              </w:rPr>
              <w:t>ley.</w:t>
            </w:r>
          </w:p>
          <w:p w14:paraId="19C2D1B5" w14:textId="77777777" w:rsidR="002E6665" w:rsidRPr="002E6665" w:rsidRDefault="002E6665" w:rsidP="000D012F">
            <w:pPr>
              <w:pStyle w:val="Prrafodelista"/>
              <w:spacing w:before="240" w:line="240" w:lineRule="auto"/>
              <w:jc w:val="both"/>
              <w:rPr>
                <w:rFonts w:ascii="Arial" w:eastAsia="Cambria" w:hAnsi="Arial" w:cs="Arial"/>
                <w:i/>
                <w:iCs/>
              </w:rPr>
            </w:pPr>
          </w:p>
          <w:p w14:paraId="330957F3" w14:textId="788ECFB2" w:rsidR="000D012F" w:rsidRPr="002E6665" w:rsidRDefault="00F53548" w:rsidP="000D012F">
            <w:pPr>
              <w:pStyle w:val="Prrafodelista"/>
              <w:spacing w:before="240" w:line="240" w:lineRule="auto"/>
              <w:jc w:val="both"/>
              <w:rPr>
                <w:rFonts w:ascii="Arial" w:eastAsia="Cambria" w:hAnsi="Arial" w:cs="Arial"/>
                <w:i/>
                <w:iCs/>
              </w:rPr>
            </w:pPr>
            <w:r w:rsidRPr="002E6665">
              <w:rPr>
                <w:rFonts w:ascii="Arial" w:eastAsia="Cambria" w:hAnsi="Arial" w:cs="Arial"/>
                <w:i/>
                <w:iCs/>
              </w:rPr>
              <w:t>Para dar cumplimiento a esta obligación, la publicidad en formato material deberá</w:t>
            </w:r>
            <w:r w:rsidR="006F3EE3" w:rsidRPr="002E6665">
              <w:rPr>
                <w:rFonts w:ascii="Arial" w:eastAsia="Cambria" w:hAnsi="Arial" w:cs="Arial"/>
                <w:i/>
                <w:iCs/>
              </w:rPr>
              <w:t xml:space="preserve"> </w:t>
            </w:r>
            <w:r w:rsidRPr="002E6665">
              <w:rPr>
                <w:rFonts w:ascii="Arial" w:eastAsia="Cambria" w:hAnsi="Arial" w:cs="Arial"/>
                <w:i/>
                <w:iCs/>
              </w:rPr>
              <w:t>incluir la leyenda de advertencia mencionada en el inciso primero del artículo 49 bis,</w:t>
            </w:r>
            <w:r w:rsidR="006F3EE3" w:rsidRPr="002E6665">
              <w:rPr>
                <w:rFonts w:ascii="Arial" w:eastAsia="Cambria" w:hAnsi="Arial" w:cs="Arial"/>
                <w:i/>
                <w:iCs/>
              </w:rPr>
              <w:t xml:space="preserve"> </w:t>
            </w:r>
            <w:r w:rsidRPr="002E6665">
              <w:rPr>
                <w:rFonts w:ascii="Arial" w:eastAsia="Cambria" w:hAnsi="Arial" w:cs="Arial"/>
                <w:i/>
                <w:iCs/>
              </w:rPr>
              <w:t>mientras que aquella en formato digital deberá incluir la secuencia mencionada en el</w:t>
            </w:r>
            <w:r w:rsidR="006F3EE3" w:rsidRPr="002E6665">
              <w:rPr>
                <w:rFonts w:ascii="Arial" w:eastAsia="Cambria" w:hAnsi="Arial" w:cs="Arial"/>
                <w:i/>
                <w:iCs/>
              </w:rPr>
              <w:t xml:space="preserve"> </w:t>
            </w:r>
            <w:r w:rsidRPr="002E6665">
              <w:rPr>
                <w:rFonts w:ascii="Arial" w:eastAsia="Cambria" w:hAnsi="Arial" w:cs="Arial"/>
                <w:i/>
                <w:iCs/>
              </w:rPr>
              <w:t xml:space="preserve">inciso tercero de la misma norma. El tamaño o extensión de la leyenda o secuencia podrá </w:t>
            </w:r>
            <w:r w:rsidR="006F3EE3" w:rsidRPr="002E6665">
              <w:rPr>
                <w:rFonts w:ascii="Arial" w:eastAsia="Cambria" w:hAnsi="Arial" w:cs="Arial"/>
                <w:i/>
                <w:iCs/>
              </w:rPr>
              <w:t>ajustarse razonablemente a los de la publicidad, de manera tal que abarque al menos un 5% de estos.”</w:t>
            </w:r>
          </w:p>
          <w:p w14:paraId="2A213048" w14:textId="77777777" w:rsidR="000D012F" w:rsidRDefault="000D012F" w:rsidP="000D012F">
            <w:pPr>
              <w:pStyle w:val="Prrafodelista"/>
              <w:spacing w:before="240" w:line="240" w:lineRule="auto"/>
              <w:jc w:val="both"/>
              <w:rPr>
                <w:rFonts w:ascii="Arial" w:eastAsia="Cambria" w:hAnsi="Arial" w:cs="Arial"/>
              </w:rPr>
            </w:pPr>
          </w:p>
          <w:p w14:paraId="6FC9EEC4" w14:textId="77777777" w:rsidR="002E6665" w:rsidRDefault="006F3EE3" w:rsidP="006F3EE3">
            <w:pPr>
              <w:pStyle w:val="Prrafodelista"/>
              <w:numPr>
                <w:ilvl w:val="0"/>
                <w:numId w:val="21"/>
              </w:numPr>
              <w:spacing w:before="240" w:line="240" w:lineRule="auto"/>
              <w:jc w:val="both"/>
              <w:rPr>
                <w:rFonts w:ascii="Arial" w:eastAsia="Cambria" w:hAnsi="Arial" w:cs="Arial"/>
              </w:rPr>
            </w:pPr>
            <w:r w:rsidRPr="000D012F">
              <w:rPr>
                <w:rFonts w:ascii="Arial" w:eastAsia="Cambria" w:hAnsi="Arial" w:cs="Arial"/>
              </w:rPr>
              <w:t>Introdúcense unos nuevos incisos segundo y tercero en el artículo 49 bis, pasando el actual inciso segundo a ser el nuevo inciso tercero, el actual inciso tercero a ser el nuevo inciso cuarto y así sucesivamente, del siguiente tenor:</w:t>
            </w:r>
          </w:p>
          <w:p w14:paraId="2BFA3547" w14:textId="77777777" w:rsidR="002E6665" w:rsidRDefault="002E6665" w:rsidP="002E6665">
            <w:pPr>
              <w:pStyle w:val="Prrafodelista"/>
              <w:spacing w:before="240" w:line="240" w:lineRule="auto"/>
              <w:jc w:val="both"/>
              <w:rPr>
                <w:rFonts w:ascii="Arial" w:eastAsia="Cambria" w:hAnsi="Arial" w:cs="Arial"/>
              </w:rPr>
            </w:pPr>
          </w:p>
          <w:p w14:paraId="55F19B22" w14:textId="77777777" w:rsidR="002E6665" w:rsidRPr="002E6665" w:rsidRDefault="006F3EE3" w:rsidP="002E6665">
            <w:pPr>
              <w:pStyle w:val="Prrafodelista"/>
              <w:spacing w:before="240" w:line="240" w:lineRule="auto"/>
              <w:jc w:val="both"/>
              <w:rPr>
                <w:rFonts w:ascii="Arial" w:eastAsia="Cambria" w:hAnsi="Arial" w:cs="Arial"/>
                <w:i/>
                <w:iCs/>
              </w:rPr>
            </w:pPr>
            <w:r w:rsidRPr="002E6665">
              <w:rPr>
                <w:rFonts w:ascii="Arial" w:eastAsia="Cambria" w:hAnsi="Arial" w:cs="Arial"/>
                <w:i/>
                <w:iCs/>
              </w:rPr>
              <w:t>“Los desarrolladores de videojuegos a los que puede accederse en formato digital desde el territorio nacional, deberán introducir una advertencia que señale claramente el nivel de violencia contenido en el videojuego respectivo. Misma obligación corresponderá a los proveedores de servicios de telecomunicaciones que provean directamente el acceso al videojuego sin actuar como intermediario entre el desarrollador y el consumidor.</w:t>
            </w:r>
          </w:p>
          <w:p w14:paraId="1BDFECDE" w14:textId="77777777" w:rsidR="002E6665" w:rsidRPr="002E6665" w:rsidRDefault="002E6665" w:rsidP="002E6665">
            <w:pPr>
              <w:pStyle w:val="Prrafodelista"/>
              <w:spacing w:before="240" w:line="240" w:lineRule="auto"/>
              <w:jc w:val="both"/>
              <w:rPr>
                <w:rFonts w:ascii="Arial" w:eastAsia="Cambria" w:hAnsi="Arial" w:cs="Arial"/>
                <w:i/>
                <w:iCs/>
              </w:rPr>
            </w:pPr>
          </w:p>
          <w:p w14:paraId="4C7DDAEF" w14:textId="77777777" w:rsidR="008C258A" w:rsidRDefault="006F3EE3" w:rsidP="002E6665">
            <w:pPr>
              <w:pStyle w:val="Prrafodelista"/>
              <w:spacing w:before="240" w:line="240" w:lineRule="auto"/>
              <w:jc w:val="both"/>
              <w:rPr>
                <w:rFonts w:ascii="Arial" w:eastAsia="Cambria" w:hAnsi="Arial" w:cs="Arial"/>
                <w:i/>
                <w:iCs/>
              </w:rPr>
            </w:pPr>
            <w:r w:rsidRPr="002E6665">
              <w:rPr>
                <w:rFonts w:ascii="Arial" w:eastAsia="Cambria" w:hAnsi="Arial" w:cs="Arial"/>
                <w:i/>
                <w:iCs/>
              </w:rPr>
              <w:t>La advertencia consistirá en una secuencia de pantalla de al menos 5 segundos de duración que indique la calificación del nivel de violencia contenido en el videojuego de conformidad con lo dispuesto en el artículo 11 bis de la Ley N° 19.846.”.</w:t>
            </w:r>
          </w:p>
          <w:p w14:paraId="54E34B25" w14:textId="77777777" w:rsidR="002E6665" w:rsidRDefault="002E6665" w:rsidP="002E6665">
            <w:pPr>
              <w:pStyle w:val="Prrafodelista"/>
              <w:spacing w:before="240" w:line="240" w:lineRule="auto"/>
              <w:jc w:val="both"/>
              <w:rPr>
                <w:rFonts w:ascii="Arial" w:eastAsia="Cambria" w:hAnsi="Arial" w:cs="Arial"/>
                <w:i/>
                <w:iCs/>
              </w:rPr>
            </w:pPr>
          </w:p>
          <w:p w14:paraId="26C9C64D" w14:textId="77777777" w:rsidR="002E6665" w:rsidRPr="002E6665" w:rsidRDefault="002E6665" w:rsidP="002E6665">
            <w:pPr>
              <w:pStyle w:val="Prrafodelista"/>
              <w:spacing w:before="240" w:line="240" w:lineRule="auto"/>
              <w:jc w:val="center"/>
              <w:rPr>
                <w:rFonts w:ascii="Arial" w:eastAsia="Cambria" w:hAnsi="Arial" w:cs="Arial"/>
                <w:b/>
                <w:bCs/>
              </w:rPr>
            </w:pPr>
            <w:r w:rsidRPr="002E6665">
              <w:rPr>
                <w:rFonts w:ascii="Arial" w:eastAsia="Cambria" w:hAnsi="Arial" w:cs="Arial"/>
                <w:b/>
                <w:bCs/>
              </w:rPr>
              <w:t>Boletín N° 15020-19</w:t>
            </w:r>
          </w:p>
          <w:p w14:paraId="3C97B021" w14:textId="77777777" w:rsidR="00E43D21" w:rsidRDefault="00BC5FEB" w:rsidP="00BC5FEB">
            <w:pPr>
              <w:spacing w:before="240" w:line="240" w:lineRule="auto"/>
              <w:jc w:val="both"/>
              <w:rPr>
                <w:rFonts w:ascii="Arial" w:eastAsia="Cambria" w:hAnsi="Arial" w:cs="Arial"/>
              </w:rPr>
            </w:pPr>
            <w:r w:rsidRPr="00BC5FEB">
              <w:rPr>
                <w:rFonts w:ascii="Arial" w:eastAsia="Cambria" w:hAnsi="Arial" w:cs="Arial"/>
                <w:b/>
                <w:bCs/>
              </w:rPr>
              <w:t xml:space="preserve">Artículo </w:t>
            </w:r>
            <w:r>
              <w:rPr>
                <w:rFonts w:ascii="Arial" w:eastAsia="Cambria" w:hAnsi="Arial" w:cs="Arial"/>
                <w:b/>
                <w:bCs/>
              </w:rPr>
              <w:t>Ú</w:t>
            </w:r>
            <w:r w:rsidRPr="00BC5FEB">
              <w:rPr>
                <w:rFonts w:ascii="Arial" w:eastAsia="Cambria" w:hAnsi="Arial" w:cs="Arial"/>
                <w:b/>
                <w:bCs/>
              </w:rPr>
              <w:t>nico:</w:t>
            </w:r>
            <w:r w:rsidRPr="00BC5FEB">
              <w:rPr>
                <w:rFonts w:ascii="Arial" w:eastAsia="Cambria" w:hAnsi="Arial" w:cs="Arial"/>
              </w:rPr>
              <w:t xml:space="preserve"> Agréguese un nuevo artículo 49 ter a la Ley N°19.496 que Establece Normas de</w:t>
            </w:r>
            <w:r>
              <w:rPr>
                <w:rFonts w:ascii="Arial" w:eastAsia="Cambria" w:hAnsi="Arial" w:cs="Arial"/>
              </w:rPr>
              <w:t xml:space="preserve"> </w:t>
            </w:r>
            <w:r w:rsidRPr="00BC5FEB">
              <w:rPr>
                <w:rFonts w:ascii="Arial" w:eastAsia="Cambria" w:hAnsi="Arial" w:cs="Arial"/>
              </w:rPr>
              <w:t>Protección de los Derechos de los Consumidores, de conformidad al siguiente texto:</w:t>
            </w:r>
          </w:p>
          <w:p w14:paraId="2A30DCF7" w14:textId="77777777" w:rsidR="00E43D21" w:rsidRPr="00E43D21" w:rsidRDefault="00BC5FEB" w:rsidP="00E43D21">
            <w:pPr>
              <w:spacing w:before="240" w:line="240" w:lineRule="auto"/>
              <w:ind w:left="708"/>
              <w:jc w:val="both"/>
              <w:rPr>
                <w:rFonts w:ascii="Arial" w:eastAsia="Cambria" w:hAnsi="Arial" w:cs="Arial"/>
                <w:i/>
                <w:iCs/>
              </w:rPr>
            </w:pPr>
            <w:r w:rsidRPr="00E43D21">
              <w:rPr>
                <w:rFonts w:ascii="Arial" w:eastAsia="Cambria" w:hAnsi="Arial" w:cs="Arial"/>
                <w:i/>
                <w:iCs/>
              </w:rPr>
              <w:t>“Lo dispuesto en el artículo anterior, y en el artículo 45 de esta ley, se extenderá también y especialmente a todo fabricante e importador de productos o dispositivos digitales, que por medio de la conexión a internet, permitan acceder a diferentes redes sociales o aplicaciones que conlleven intercambio de mensajes o comunicación con otras personas, como por ejemplo televisores, teléfonos celulares, computadores, notebooks, tablets, consolas de videojuegos y otros dispositivos análogos con el objeto de velar, advertir y proteger de las graves consecuencias físicas y psicológicas del cyberbullying, estableciendo así mismo, los canales de ayuda y atención a las víctimas de éste.</w:t>
            </w:r>
          </w:p>
          <w:p w14:paraId="7B6BB671" w14:textId="77777777" w:rsidR="00E43D21" w:rsidRPr="00E43D21" w:rsidRDefault="00BC5FEB" w:rsidP="00E43D21">
            <w:pPr>
              <w:spacing w:before="240" w:line="240" w:lineRule="auto"/>
              <w:ind w:left="708"/>
              <w:jc w:val="both"/>
              <w:rPr>
                <w:rFonts w:ascii="Arial" w:eastAsia="Cambria" w:hAnsi="Arial" w:cs="Arial"/>
                <w:i/>
                <w:iCs/>
              </w:rPr>
            </w:pPr>
            <w:r w:rsidRPr="00E43D21">
              <w:rPr>
                <w:rFonts w:ascii="Arial" w:eastAsia="Cambria" w:hAnsi="Arial" w:cs="Arial"/>
                <w:i/>
                <w:iCs/>
              </w:rPr>
              <w:t>La infracción de las normas relativas al cyberbullying, será sancionada por el juez de policía local competente, con una multa de 1 a 50 unidades tributarias mensuales y comiso de las especies materia de la infracción.</w:t>
            </w:r>
          </w:p>
          <w:p w14:paraId="75BA7B4D" w14:textId="02F6A780" w:rsidR="00C72E56" w:rsidRPr="00C72E56" w:rsidRDefault="00BC5FEB" w:rsidP="00C72E56">
            <w:pPr>
              <w:spacing w:before="240" w:line="240" w:lineRule="auto"/>
              <w:ind w:left="708"/>
              <w:jc w:val="both"/>
              <w:rPr>
                <w:rFonts w:ascii="Arial" w:eastAsia="Cambria" w:hAnsi="Arial" w:cs="Arial"/>
                <w:i/>
                <w:iCs/>
              </w:rPr>
            </w:pPr>
            <w:r w:rsidRPr="00E43D21">
              <w:rPr>
                <w:rFonts w:ascii="Arial" w:eastAsia="Cambria" w:hAnsi="Arial" w:cs="Arial"/>
                <w:i/>
                <w:iCs/>
              </w:rPr>
              <w:t>En caso de reincidencia, el juez podrá aplicar el doble de la multa establecida para la infracción respectiva. Se entenderá que existe reincidencia cuando el infractor incurra en una misma contravención, en dos oportunidades dentro del mismo año calendario.”</w:t>
            </w:r>
          </w:p>
        </w:tc>
      </w:tr>
    </w:tbl>
    <w:p w14:paraId="61496B62" w14:textId="77777777" w:rsidR="00A722D9" w:rsidRPr="001C05A0" w:rsidRDefault="00A722D9" w:rsidP="005F2DA9">
      <w:pPr>
        <w:jc w:val="both"/>
        <w:rPr>
          <w:rFonts w:ascii="Arial" w:hAnsi="Arial" w:cs="Arial"/>
        </w:rPr>
      </w:pPr>
    </w:p>
    <w:sectPr w:rsidR="00A722D9" w:rsidRPr="001C05A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7B9F3" w14:textId="77777777" w:rsidR="00666114" w:rsidRDefault="00666114" w:rsidP="00A11360">
      <w:pPr>
        <w:spacing w:after="0" w:line="240" w:lineRule="auto"/>
      </w:pPr>
      <w:r>
        <w:separator/>
      </w:r>
    </w:p>
  </w:endnote>
  <w:endnote w:type="continuationSeparator" w:id="0">
    <w:p w14:paraId="2F997421" w14:textId="77777777" w:rsidR="00666114" w:rsidRDefault="00666114" w:rsidP="00A1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9547405"/>
      <w:docPartObj>
        <w:docPartGallery w:val="Page Numbers (Bottom of Page)"/>
        <w:docPartUnique/>
      </w:docPartObj>
    </w:sdtPr>
    <w:sdtContent>
      <w:p w14:paraId="0AC943B3" w14:textId="631E610C" w:rsidR="00460F4A" w:rsidRDefault="00460F4A">
        <w:pPr>
          <w:pStyle w:val="Piedepgina"/>
          <w:jc w:val="right"/>
        </w:pPr>
        <w:r>
          <w:fldChar w:fldCharType="begin"/>
        </w:r>
        <w:r>
          <w:instrText>PAGE   \* MERGEFORMAT</w:instrText>
        </w:r>
        <w:r>
          <w:fldChar w:fldCharType="separate"/>
        </w:r>
        <w:r>
          <w:rPr>
            <w:lang w:val="es-ES"/>
          </w:rPr>
          <w:t>2</w:t>
        </w:r>
        <w:r>
          <w:fldChar w:fldCharType="end"/>
        </w:r>
      </w:p>
    </w:sdtContent>
  </w:sdt>
  <w:p w14:paraId="1F262A70" w14:textId="77777777" w:rsidR="00460F4A" w:rsidRDefault="00460F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D21AF" w14:textId="77777777" w:rsidR="00666114" w:rsidRDefault="00666114" w:rsidP="00A11360">
      <w:pPr>
        <w:spacing w:after="0" w:line="240" w:lineRule="auto"/>
      </w:pPr>
      <w:r>
        <w:separator/>
      </w:r>
    </w:p>
  </w:footnote>
  <w:footnote w:type="continuationSeparator" w:id="0">
    <w:p w14:paraId="241C6F60" w14:textId="77777777" w:rsidR="00666114" w:rsidRDefault="00666114" w:rsidP="00A11360">
      <w:pPr>
        <w:spacing w:after="0" w:line="240" w:lineRule="auto"/>
      </w:pPr>
      <w:r>
        <w:continuationSeparator/>
      </w:r>
    </w:p>
  </w:footnote>
  <w:footnote w:id="1">
    <w:p w14:paraId="59B06254" w14:textId="660E715C" w:rsidR="002E7B46" w:rsidRPr="002E7B46" w:rsidRDefault="002E7B46">
      <w:pPr>
        <w:pStyle w:val="Textonotapie"/>
      </w:pPr>
      <w:r>
        <w:rPr>
          <w:rStyle w:val="Refdenotaalpie"/>
        </w:rPr>
        <w:footnoteRef/>
      </w:r>
      <w:r>
        <w:t xml:space="preserve"> Las tablas como las citaciones de las comisiones pueden cambiar.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4A4D4" w14:textId="42FF47B7" w:rsidR="00243D72" w:rsidRDefault="00243D72" w:rsidP="00243D72">
    <w:pPr>
      <w:pStyle w:val="Encabezado"/>
      <w:jc w:val="center"/>
    </w:pPr>
    <w:r>
      <w:rPr>
        <w:noProof/>
      </w:rPr>
      <w:drawing>
        <wp:inline distT="0" distB="0" distL="0" distR="0" wp14:anchorId="566F0123" wp14:editId="78F69D7C">
          <wp:extent cx="5276850" cy="1647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LSO_OPCION 1 con correccion 1.jpg"/>
                  <pic:cNvPicPr/>
                </pic:nvPicPr>
                <pic:blipFill>
                  <a:blip r:embed="rId1">
                    <a:extLst>
                      <a:ext uri="{28A0092B-C50C-407E-A947-70E740481C1C}">
                        <a14:useLocalDpi xmlns:a14="http://schemas.microsoft.com/office/drawing/2010/main" val="0"/>
                      </a:ext>
                    </a:extLst>
                  </a:blip>
                  <a:stretch>
                    <a:fillRect/>
                  </a:stretch>
                </pic:blipFill>
                <pic:spPr>
                  <a:xfrm>
                    <a:off x="0" y="0"/>
                    <a:ext cx="5276850" cy="1647825"/>
                  </a:xfrm>
                  <a:prstGeom prst="rect">
                    <a:avLst/>
                  </a:prstGeom>
                  <a:ln>
                    <a:noFill/>
                  </a:ln>
                  <a:effectLst>
                    <a:softEdge rad="11250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3173F"/>
    <w:multiLevelType w:val="hybridMultilevel"/>
    <w:tmpl w:val="7CD6982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7FC4CBF"/>
    <w:multiLevelType w:val="multilevel"/>
    <w:tmpl w:val="25023A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284104CF"/>
    <w:multiLevelType w:val="hybridMultilevel"/>
    <w:tmpl w:val="383A8BD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A60540E"/>
    <w:multiLevelType w:val="hybridMultilevel"/>
    <w:tmpl w:val="CCCC4F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A6C2F1B"/>
    <w:multiLevelType w:val="multilevel"/>
    <w:tmpl w:val="D65883B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125A4C"/>
    <w:multiLevelType w:val="hybridMultilevel"/>
    <w:tmpl w:val="7F0A37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07661F0"/>
    <w:multiLevelType w:val="multilevel"/>
    <w:tmpl w:val="ED3A57F4"/>
    <w:lvl w:ilvl="0">
      <w:start w:val="6"/>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8E556B"/>
    <w:multiLevelType w:val="hybridMultilevel"/>
    <w:tmpl w:val="2102CEAC"/>
    <w:lvl w:ilvl="0" w:tplc="340A000F">
      <w:start w:val="1"/>
      <w:numFmt w:val="decimal"/>
      <w:lvlText w:val="%1."/>
      <w:lvlJc w:val="left"/>
      <w:pPr>
        <w:ind w:left="720" w:hanging="360"/>
      </w:pPr>
    </w:lvl>
    <w:lvl w:ilvl="1" w:tplc="59A8015E">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7143FEF"/>
    <w:multiLevelType w:val="hybridMultilevel"/>
    <w:tmpl w:val="07B293C8"/>
    <w:lvl w:ilvl="0" w:tplc="340A0017">
      <w:start w:val="1"/>
      <w:numFmt w:val="lowerLetter"/>
      <w:lvlText w:val="%1)"/>
      <w:lvlJc w:val="left"/>
      <w:pPr>
        <w:ind w:left="2295" w:hanging="360"/>
      </w:pPr>
    </w:lvl>
    <w:lvl w:ilvl="1" w:tplc="340A0019">
      <w:start w:val="1"/>
      <w:numFmt w:val="lowerLetter"/>
      <w:lvlText w:val="%2."/>
      <w:lvlJc w:val="left"/>
      <w:pPr>
        <w:ind w:left="3015" w:hanging="360"/>
      </w:pPr>
    </w:lvl>
    <w:lvl w:ilvl="2" w:tplc="340A001B" w:tentative="1">
      <w:start w:val="1"/>
      <w:numFmt w:val="lowerRoman"/>
      <w:lvlText w:val="%3."/>
      <w:lvlJc w:val="right"/>
      <w:pPr>
        <w:ind w:left="3735" w:hanging="180"/>
      </w:pPr>
    </w:lvl>
    <w:lvl w:ilvl="3" w:tplc="340A000F" w:tentative="1">
      <w:start w:val="1"/>
      <w:numFmt w:val="decimal"/>
      <w:lvlText w:val="%4."/>
      <w:lvlJc w:val="left"/>
      <w:pPr>
        <w:ind w:left="4455" w:hanging="360"/>
      </w:pPr>
    </w:lvl>
    <w:lvl w:ilvl="4" w:tplc="340A0019" w:tentative="1">
      <w:start w:val="1"/>
      <w:numFmt w:val="lowerLetter"/>
      <w:lvlText w:val="%5."/>
      <w:lvlJc w:val="left"/>
      <w:pPr>
        <w:ind w:left="5175" w:hanging="360"/>
      </w:pPr>
    </w:lvl>
    <w:lvl w:ilvl="5" w:tplc="340A001B" w:tentative="1">
      <w:start w:val="1"/>
      <w:numFmt w:val="lowerRoman"/>
      <w:lvlText w:val="%6."/>
      <w:lvlJc w:val="right"/>
      <w:pPr>
        <w:ind w:left="5895" w:hanging="180"/>
      </w:pPr>
    </w:lvl>
    <w:lvl w:ilvl="6" w:tplc="340A000F" w:tentative="1">
      <w:start w:val="1"/>
      <w:numFmt w:val="decimal"/>
      <w:lvlText w:val="%7."/>
      <w:lvlJc w:val="left"/>
      <w:pPr>
        <w:ind w:left="6615" w:hanging="360"/>
      </w:pPr>
    </w:lvl>
    <w:lvl w:ilvl="7" w:tplc="340A0019" w:tentative="1">
      <w:start w:val="1"/>
      <w:numFmt w:val="lowerLetter"/>
      <w:lvlText w:val="%8."/>
      <w:lvlJc w:val="left"/>
      <w:pPr>
        <w:ind w:left="7335" w:hanging="360"/>
      </w:pPr>
    </w:lvl>
    <w:lvl w:ilvl="8" w:tplc="340A001B" w:tentative="1">
      <w:start w:val="1"/>
      <w:numFmt w:val="lowerRoman"/>
      <w:lvlText w:val="%9."/>
      <w:lvlJc w:val="right"/>
      <w:pPr>
        <w:ind w:left="8055" w:hanging="180"/>
      </w:pPr>
    </w:lvl>
  </w:abstractNum>
  <w:abstractNum w:abstractNumId="9" w15:restartNumberingAfterBreak="0">
    <w:nsid w:val="3BB12759"/>
    <w:multiLevelType w:val="hybridMultilevel"/>
    <w:tmpl w:val="D634189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C4A17D8"/>
    <w:multiLevelType w:val="hybridMultilevel"/>
    <w:tmpl w:val="FA60DE38"/>
    <w:lvl w:ilvl="0" w:tplc="F7507B56">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29347A5"/>
    <w:multiLevelType w:val="hybridMultilevel"/>
    <w:tmpl w:val="F198E0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48015C2"/>
    <w:multiLevelType w:val="hybridMultilevel"/>
    <w:tmpl w:val="9DC4F1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AD92BCA"/>
    <w:multiLevelType w:val="hybridMultilevel"/>
    <w:tmpl w:val="4424AB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FC756D5"/>
    <w:multiLevelType w:val="hybridMultilevel"/>
    <w:tmpl w:val="AAD41E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5D2121D"/>
    <w:multiLevelType w:val="hybridMultilevel"/>
    <w:tmpl w:val="1E2618D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630186C"/>
    <w:multiLevelType w:val="hybridMultilevel"/>
    <w:tmpl w:val="14D202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7C3041B"/>
    <w:multiLevelType w:val="hybridMultilevel"/>
    <w:tmpl w:val="75CEED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EB14B9E"/>
    <w:multiLevelType w:val="hybridMultilevel"/>
    <w:tmpl w:val="0458F8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9587D57"/>
    <w:multiLevelType w:val="hybridMultilevel"/>
    <w:tmpl w:val="6874B2F0"/>
    <w:lvl w:ilvl="0" w:tplc="340A0017">
      <w:start w:val="1"/>
      <w:numFmt w:val="lowerLetter"/>
      <w:lvlText w:val="%1)"/>
      <w:lvlJc w:val="left"/>
      <w:pPr>
        <w:ind w:left="1515" w:hanging="360"/>
      </w:pPr>
    </w:lvl>
    <w:lvl w:ilvl="1" w:tplc="340A0019" w:tentative="1">
      <w:start w:val="1"/>
      <w:numFmt w:val="lowerLetter"/>
      <w:lvlText w:val="%2."/>
      <w:lvlJc w:val="left"/>
      <w:pPr>
        <w:ind w:left="2235" w:hanging="360"/>
      </w:pPr>
    </w:lvl>
    <w:lvl w:ilvl="2" w:tplc="340A001B" w:tentative="1">
      <w:start w:val="1"/>
      <w:numFmt w:val="lowerRoman"/>
      <w:lvlText w:val="%3."/>
      <w:lvlJc w:val="right"/>
      <w:pPr>
        <w:ind w:left="2955" w:hanging="180"/>
      </w:pPr>
    </w:lvl>
    <w:lvl w:ilvl="3" w:tplc="340A000F" w:tentative="1">
      <w:start w:val="1"/>
      <w:numFmt w:val="decimal"/>
      <w:lvlText w:val="%4."/>
      <w:lvlJc w:val="left"/>
      <w:pPr>
        <w:ind w:left="3675" w:hanging="360"/>
      </w:pPr>
    </w:lvl>
    <w:lvl w:ilvl="4" w:tplc="340A0019" w:tentative="1">
      <w:start w:val="1"/>
      <w:numFmt w:val="lowerLetter"/>
      <w:lvlText w:val="%5."/>
      <w:lvlJc w:val="left"/>
      <w:pPr>
        <w:ind w:left="4395" w:hanging="360"/>
      </w:pPr>
    </w:lvl>
    <w:lvl w:ilvl="5" w:tplc="340A001B" w:tentative="1">
      <w:start w:val="1"/>
      <w:numFmt w:val="lowerRoman"/>
      <w:lvlText w:val="%6."/>
      <w:lvlJc w:val="right"/>
      <w:pPr>
        <w:ind w:left="5115" w:hanging="180"/>
      </w:pPr>
    </w:lvl>
    <w:lvl w:ilvl="6" w:tplc="340A000F" w:tentative="1">
      <w:start w:val="1"/>
      <w:numFmt w:val="decimal"/>
      <w:lvlText w:val="%7."/>
      <w:lvlJc w:val="left"/>
      <w:pPr>
        <w:ind w:left="5835" w:hanging="360"/>
      </w:pPr>
    </w:lvl>
    <w:lvl w:ilvl="7" w:tplc="340A0019" w:tentative="1">
      <w:start w:val="1"/>
      <w:numFmt w:val="lowerLetter"/>
      <w:lvlText w:val="%8."/>
      <w:lvlJc w:val="left"/>
      <w:pPr>
        <w:ind w:left="6555" w:hanging="360"/>
      </w:pPr>
    </w:lvl>
    <w:lvl w:ilvl="8" w:tplc="340A001B" w:tentative="1">
      <w:start w:val="1"/>
      <w:numFmt w:val="lowerRoman"/>
      <w:lvlText w:val="%9."/>
      <w:lvlJc w:val="right"/>
      <w:pPr>
        <w:ind w:left="7275" w:hanging="180"/>
      </w:pPr>
    </w:lvl>
  </w:abstractNum>
  <w:abstractNum w:abstractNumId="20" w15:restartNumberingAfterBreak="0">
    <w:nsid w:val="79FD1EFE"/>
    <w:multiLevelType w:val="hybridMultilevel"/>
    <w:tmpl w:val="1A36F756"/>
    <w:lvl w:ilvl="0" w:tplc="A880A1F0">
      <w:start w:val="1"/>
      <w:numFmt w:val="upp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16cid:durableId="1750805682">
    <w:abstractNumId w:val="4"/>
  </w:num>
  <w:num w:numId="2" w16cid:durableId="554706416">
    <w:abstractNumId w:val="1"/>
  </w:num>
  <w:num w:numId="3" w16cid:durableId="565188409">
    <w:abstractNumId w:val="6"/>
  </w:num>
  <w:num w:numId="4" w16cid:durableId="1005790220">
    <w:abstractNumId w:val="10"/>
  </w:num>
  <w:num w:numId="5" w16cid:durableId="2099517852">
    <w:abstractNumId w:val="13"/>
  </w:num>
  <w:num w:numId="6" w16cid:durableId="1034649568">
    <w:abstractNumId w:val="2"/>
  </w:num>
  <w:num w:numId="7" w16cid:durableId="653803576">
    <w:abstractNumId w:val="3"/>
  </w:num>
  <w:num w:numId="8" w16cid:durableId="1160579477">
    <w:abstractNumId w:val="17"/>
  </w:num>
  <w:num w:numId="9" w16cid:durableId="1587307273">
    <w:abstractNumId w:val="7"/>
  </w:num>
  <w:num w:numId="10" w16cid:durableId="527909143">
    <w:abstractNumId w:val="8"/>
  </w:num>
  <w:num w:numId="11" w16cid:durableId="477187769">
    <w:abstractNumId w:val="19"/>
  </w:num>
  <w:num w:numId="12" w16cid:durableId="1330600076">
    <w:abstractNumId w:val="16"/>
  </w:num>
  <w:num w:numId="13" w16cid:durableId="986934206">
    <w:abstractNumId w:val="20"/>
  </w:num>
  <w:num w:numId="14" w16cid:durableId="1348866327">
    <w:abstractNumId w:val="15"/>
  </w:num>
  <w:num w:numId="15" w16cid:durableId="1432970023">
    <w:abstractNumId w:val="12"/>
  </w:num>
  <w:num w:numId="16" w16cid:durableId="2027946274">
    <w:abstractNumId w:val="14"/>
  </w:num>
  <w:num w:numId="17" w16cid:durableId="904536658">
    <w:abstractNumId w:val="5"/>
  </w:num>
  <w:num w:numId="18" w16cid:durableId="1518815402">
    <w:abstractNumId w:val="11"/>
  </w:num>
  <w:num w:numId="19" w16cid:durableId="91441744">
    <w:abstractNumId w:val="9"/>
  </w:num>
  <w:num w:numId="20" w16cid:durableId="1288004158">
    <w:abstractNumId w:val="0"/>
  </w:num>
  <w:num w:numId="21" w16cid:durableId="11753431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9C"/>
    <w:rsid w:val="00010269"/>
    <w:rsid w:val="000237A9"/>
    <w:rsid w:val="00031B36"/>
    <w:rsid w:val="00034393"/>
    <w:rsid w:val="00037AC2"/>
    <w:rsid w:val="00042D61"/>
    <w:rsid w:val="00044B35"/>
    <w:rsid w:val="00061A46"/>
    <w:rsid w:val="0007599E"/>
    <w:rsid w:val="00094AA7"/>
    <w:rsid w:val="000974F5"/>
    <w:rsid w:val="000A180C"/>
    <w:rsid w:val="000A22F9"/>
    <w:rsid w:val="000A5413"/>
    <w:rsid w:val="000B7862"/>
    <w:rsid w:val="000C1E36"/>
    <w:rsid w:val="000C3516"/>
    <w:rsid w:val="000C3E08"/>
    <w:rsid w:val="000D012F"/>
    <w:rsid w:val="000D6D7F"/>
    <w:rsid w:val="000E6D6C"/>
    <w:rsid w:val="000E77C0"/>
    <w:rsid w:val="000E7F68"/>
    <w:rsid w:val="000F0A50"/>
    <w:rsid w:val="000F740F"/>
    <w:rsid w:val="0010145E"/>
    <w:rsid w:val="00110D79"/>
    <w:rsid w:val="001110AD"/>
    <w:rsid w:val="00112B91"/>
    <w:rsid w:val="00135C27"/>
    <w:rsid w:val="00152D2C"/>
    <w:rsid w:val="00154956"/>
    <w:rsid w:val="00157442"/>
    <w:rsid w:val="0016157E"/>
    <w:rsid w:val="0016523D"/>
    <w:rsid w:val="00166AA1"/>
    <w:rsid w:val="001701FD"/>
    <w:rsid w:val="00176559"/>
    <w:rsid w:val="0018510E"/>
    <w:rsid w:val="001A4138"/>
    <w:rsid w:val="001B0F30"/>
    <w:rsid w:val="001C05A0"/>
    <w:rsid w:val="001C05A7"/>
    <w:rsid w:val="001C1976"/>
    <w:rsid w:val="001C1C8A"/>
    <w:rsid w:val="001F1160"/>
    <w:rsid w:val="001F529D"/>
    <w:rsid w:val="001F5648"/>
    <w:rsid w:val="001F650B"/>
    <w:rsid w:val="0020251C"/>
    <w:rsid w:val="002066C7"/>
    <w:rsid w:val="002116E4"/>
    <w:rsid w:val="0021719B"/>
    <w:rsid w:val="00220349"/>
    <w:rsid w:val="00222D6E"/>
    <w:rsid w:val="002231B1"/>
    <w:rsid w:val="00226FE0"/>
    <w:rsid w:val="00232F01"/>
    <w:rsid w:val="0024242F"/>
    <w:rsid w:val="0024305C"/>
    <w:rsid w:val="00243D72"/>
    <w:rsid w:val="00247383"/>
    <w:rsid w:val="00255FF4"/>
    <w:rsid w:val="00256315"/>
    <w:rsid w:val="002578E0"/>
    <w:rsid w:val="00260092"/>
    <w:rsid w:val="00260DC0"/>
    <w:rsid w:val="00262F0B"/>
    <w:rsid w:val="002642A3"/>
    <w:rsid w:val="00266447"/>
    <w:rsid w:val="00267CEF"/>
    <w:rsid w:val="00284DA7"/>
    <w:rsid w:val="00285D0B"/>
    <w:rsid w:val="00286D37"/>
    <w:rsid w:val="00287511"/>
    <w:rsid w:val="00287A96"/>
    <w:rsid w:val="00296C21"/>
    <w:rsid w:val="002A3F17"/>
    <w:rsid w:val="002A7600"/>
    <w:rsid w:val="002A7A5C"/>
    <w:rsid w:val="002B3F66"/>
    <w:rsid w:val="002B625A"/>
    <w:rsid w:val="002C1507"/>
    <w:rsid w:val="002C3A3D"/>
    <w:rsid w:val="002D44A6"/>
    <w:rsid w:val="002E4193"/>
    <w:rsid w:val="002E6090"/>
    <w:rsid w:val="002E6665"/>
    <w:rsid w:val="002E7B46"/>
    <w:rsid w:val="002E7F16"/>
    <w:rsid w:val="002F17ED"/>
    <w:rsid w:val="002F7F5E"/>
    <w:rsid w:val="003028EB"/>
    <w:rsid w:val="003118C1"/>
    <w:rsid w:val="003167AF"/>
    <w:rsid w:val="0032716C"/>
    <w:rsid w:val="00331F64"/>
    <w:rsid w:val="003401DD"/>
    <w:rsid w:val="00353151"/>
    <w:rsid w:val="00355DCB"/>
    <w:rsid w:val="00357F29"/>
    <w:rsid w:val="00360642"/>
    <w:rsid w:val="00361ABC"/>
    <w:rsid w:val="00361D0A"/>
    <w:rsid w:val="00386548"/>
    <w:rsid w:val="00386700"/>
    <w:rsid w:val="0039123E"/>
    <w:rsid w:val="003A111B"/>
    <w:rsid w:val="003A15B1"/>
    <w:rsid w:val="003A45DD"/>
    <w:rsid w:val="003A7199"/>
    <w:rsid w:val="003B3DF8"/>
    <w:rsid w:val="003B47D9"/>
    <w:rsid w:val="003B7400"/>
    <w:rsid w:val="003C37DC"/>
    <w:rsid w:val="003C44A8"/>
    <w:rsid w:val="003C6F50"/>
    <w:rsid w:val="003F2526"/>
    <w:rsid w:val="003F25A9"/>
    <w:rsid w:val="003F26AF"/>
    <w:rsid w:val="003F6252"/>
    <w:rsid w:val="00412C39"/>
    <w:rsid w:val="00412F14"/>
    <w:rsid w:val="00421E86"/>
    <w:rsid w:val="00423CC6"/>
    <w:rsid w:val="00431BDD"/>
    <w:rsid w:val="004327CF"/>
    <w:rsid w:val="004465F4"/>
    <w:rsid w:val="00452556"/>
    <w:rsid w:val="0045373F"/>
    <w:rsid w:val="00454B11"/>
    <w:rsid w:val="0045583D"/>
    <w:rsid w:val="004559C4"/>
    <w:rsid w:val="00457886"/>
    <w:rsid w:val="00460529"/>
    <w:rsid w:val="00460F4A"/>
    <w:rsid w:val="004618B2"/>
    <w:rsid w:val="00464CB9"/>
    <w:rsid w:val="004A0FD1"/>
    <w:rsid w:val="004A4620"/>
    <w:rsid w:val="004A4999"/>
    <w:rsid w:val="004A5122"/>
    <w:rsid w:val="004A618A"/>
    <w:rsid w:val="004B7CEC"/>
    <w:rsid w:val="004C20BA"/>
    <w:rsid w:val="004C48DE"/>
    <w:rsid w:val="004C788F"/>
    <w:rsid w:val="004E1227"/>
    <w:rsid w:val="004E1D8D"/>
    <w:rsid w:val="004E4655"/>
    <w:rsid w:val="004F3036"/>
    <w:rsid w:val="004F7275"/>
    <w:rsid w:val="00511D6E"/>
    <w:rsid w:val="00523D03"/>
    <w:rsid w:val="005317B1"/>
    <w:rsid w:val="0053698B"/>
    <w:rsid w:val="00544C57"/>
    <w:rsid w:val="00547E86"/>
    <w:rsid w:val="00550FB2"/>
    <w:rsid w:val="00566DDD"/>
    <w:rsid w:val="005977ED"/>
    <w:rsid w:val="005A2291"/>
    <w:rsid w:val="005C0E5B"/>
    <w:rsid w:val="005C28B9"/>
    <w:rsid w:val="005D4BC3"/>
    <w:rsid w:val="005E0033"/>
    <w:rsid w:val="005E46E2"/>
    <w:rsid w:val="005F14C6"/>
    <w:rsid w:val="005F2B09"/>
    <w:rsid w:val="005F2DA9"/>
    <w:rsid w:val="00601566"/>
    <w:rsid w:val="00602675"/>
    <w:rsid w:val="006067CD"/>
    <w:rsid w:val="0061081E"/>
    <w:rsid w:val="00611BEE"/>
    <w:rsid w:val="00615B3F"/>
    <w:rsid w:val="0061663A"/>
    <w:rsid w:val="00620D4E"/>
    <w:rsid w:val="00634F35"/>
    <w:rsid w:val="006352C9"/>
    <w:rsid w:val="00640AEB"/>
    <w:rsid w:val="00642D5F"/>
    <w:rsid w:val="006442DC"/>
    <w:rsid w:val="00651BE2"/>
    <w:rsid w:val="00656C6B"/>
    <w:rsid w:val="006623B0"/>
    <w:rsid w:val="00666114"/>
    <w:rsid w:val="006667EC"/>
    <w:rsid w:val="0066691F"/>
    <w:rsid w:val="00670101"/>
    <w:rsid w:val="0068331D"/>
    <w:rsid w:val="00687A63"/>
    <w:rsid w:val="0069164D"/>
    <w:rsid w:val="00692292"/>
    <w:rsid w:val="006A4D0E"/>
    <w:rsid w:val="006B0A04"/>
    <w:rsid w:val="006B2268"/>
    <w:rsid w:val="006D248F"/>
    <w:rsid w:val="006D32AD"/>
    <w:rsid w:val="006D48DD"/>
    <w:rsid w:val="006E1591"/>
    <w:rsid w:val="006E3B61"/>
    <w:rsid w:val="006E618A"/>
    <w:rsid w:val="006F0D3E"/>
    <w:rsid w:val="006F3EE3"/>
    <w:rsid w:val="006F41E5"/>
    <w:rsid w:val="006F7047"/>
    <w:rsid w:val="0071379D"/>
    <w:rsid w:val="00722E66"/>
    <w:rsid w:val="00725575"/>
    <w:rsid w:val="007263D0"/>
    <w:rsid w:val="00733374"/>
    <w:rsid w:val="00735D11"/>
    <w:rsid w:val="00742E79"/>
    <w:rsid w:val="00755BBD"/>
    <w:rsid w:val="007560CC"/>
    <w:rsid w:val="007622CA"/>
    <w:rsid w:val="007651CC"/>
    <w:rsid w:val="0076591E"/>
    <w:rsid w:val="00771F98"/>
    <w:rsid w:val="007748E1"/>
    <w:rsid w:val="0078255E"/>
    <w:rsid w:val="00783066"/>
    <w:rsid w:val="00791BDC"/>
    <w:rsid w:val="00792C6F"/>
    <w:rsid w:val="007A0A03"/>
    <w:rsid w:val="007A33FD"/>
    <w:rsid w:val="007B50D8"/>
    <w:rsid w:val="007C1836"/>
    <w:rsid w:val="007C21A3"/>
    <w:rsid w:val="007C7141"/>
    <w:rsid w:val="007E01E0"/>
    <w:rsid w:val="007E0792"/>
    <w:rsid w:val="007F1088"/>
    <w:rsid w:val="007F2360"/>
    <w:rsid w:val="007F4A65"/>
    <w:rsid w:val="0080139E"/>
    <w:rsid w:val="008028C9"/>
    <w:rsid w:val="0080290F"/>
    <w:rsid w:val="00807CA6"/>
    <w:rsid w:val="008114F2"/>
    <w:rsid w:val="008261FB"/>
    <w:rsid w:val="00833899"/>
    <w:rsid w:val="008461EA"/>
    <w:rsid w:val="00847C35"/>
    <w:rsid w:val="00856DE9"/>
    <w:rsid w:val="00857D47"/>
    <w:rsid w:val="00857F6A"/>
    <w:rsid w:val="00861BDF"/>
    <w:rsid w:val="00871C8F"/>
    <w:rsid w:val="0087448E"/>
    <w:rsid w:val="008768FF"/>
    <w:rsid w:val="008829FE"/>
    <w:rsid w:val="00884D6F"/>
    <w:rsid w:val="0089012B"/>
    <w:rsid w:val="008B0C0D"/>
    <w:rsid w:val="008C258A"/>
    <w:rsid w:val="008C7DB5"/>
    <w:rsid w:val="008D7DA6"/>
    <w:rsid w:val="008E0A77"/>
    <w:rsid w:val="008E18A7"/>
    <w:rsid w:val="008E24E5"/>
    <w:rsid w:val="008E4AEA"/>
    <w:rsid w:val="008E53DE"/>
    <w:rsid w:val="008E63CC"/>
    <w:rsid w:val="008E7F98"/>
    <w:rsid w:val="008F04F3"/>
    <w:rsid w:val="008F0DC5"/>
    <w:rsid w:val="008F1EF4"/>
    <w:rsid w:val="0091561E"/>
    <w:rsid w:val="009167DA"/>
    <w:rsid w:val="00922346"/>
    <w:rsid w:val="009427E9"/>
    <w:rsid w:val="009462FF"/>
    <w:rsid w:val="0095148C"/>
    <w:rsid w:val="00955217"/>
    <w:rsid w:val="00957539"/>
    <w:rsid w:val="00963E61"/>
    <w:rsid w:val="00972E0E"/>
    <w:rsid w:val="00973240"/>
    <w:rsid w:val="00974DB4"/>
    <w:rsid w:val="00977C82"/>
    <w:rsid w:val="009974DE"/>
    <w:rsid w:val="009A2AD0"/>
    <w:rsid w:val="009A402A"/>
    <w:rsid w:val="009A5046"/>
    <w:rsid w:val="009A7867"/>
    <w:rsid w:val="009B3927"/>
    <w:rsid w:val="009C0790"/>
    <w:rsid w:val="009C5129"/>
    <w:rsid w:val="009C67C1"/>
    <w:rsid w:val="009C7A61"/>
    <w:rsid w:val="009E0777"/>
    <w:rsid w:val="009E48F6"/>
    <w:rsid w:val="009E759F"/>
    <w:rsid w:val="009E7FA3"/>
    <w:rsid w:val="009F3652"/>
    <w:rsid w:val="00A11360"/>
    <w:rsid w:val="00A11A8B"/>
    <w:rsid w:val="00A149A7"/>
    <w:rsid w:val="00A16E0E"/>
    <w:rsid w:val="00A208B2"/>
    <w:rsid w:val="00A26CDB"/>
    <w:rsid w:val="00A34F55"/>
    <w:rsid w:val="00A364B3"/>
    <w:rsid w:val="00A46C2A"/>
    <w:rsid w:val="00A479D6"/>
    <w:rsid w:val="00A57123"/>
    <w:rsid w:val="00A6172A"/>
    <w:rsid w:val="00A6350D"/>
    <w:rsid w:val="00A722D9"/>
    <w:rsid w:val="00A7729C"/>
    <w:rsid w:val="00A9459B"/>
    <w:rsid w:val="00AA6BFF"/>
    <w:rsid w:val="00AA6D4C"/>
    <w:rsid w:val="00AC3437"/>
    <w:rsid w:val="00AC407E"/>
    <w:rsid w:val="00AC7E14"/>
    <w:rsid w:val="00AD0D7B"/>
    <w:rsid w:val="00AD68CC"/>
    <w:rsid w:val="00AD6D15"/>
    <w:rsid w:val="00AD74EB"/>
    <w:rsid w:val="00AE0A3A"/>
    <w:rsid w:val="00AE1491"/>
    <w:rsid w:val="00AE2599"/>
    <w:rsid w:val="00AE6558"/>
    <w:rsid w:val="00AE7CCB"/>
    <w:rsid w:val="00AF2D6B"/>
    <w:rsid w:val="00AF4254"/>
    <w:rsid w:val="00AF4A06"/>
    <w:rsid w:val="00B01CC7"/>
    <w:rsid w:val="00B159C5"/>
    <w:rsid w:val="00B166BB"/>
    <w:rsid w:val="00B16F4B"/>
    <w:rsid w:val="00B210AE"/>
    <w:rsid w:val="00B2191E"/>
    <w:rsid w:val="00B21C8E"/>
    <w:rsid w:val="00B238EA"/>
    <w:rsid w:val="00B37AC8"/>
    <w:rsid w:val="00B42A83"/>
    <w:rsid w:val="00B42BED"/>
    <w:rsid w:val="00B51A08"/>
    <w:rsid w:val="00B569B5"/>
    <w:rsid w:val="00B571C7"/>
    <w:rsid w:val="00B62121"/>
    <w:rsid w:val="00B67787"/>
    <w:rsid w:val="00B7044A"/>
    <w:rsid w:val="00B7256A"/>
    <w:rsid w:val="00B76BD1"/>
    <w:rsid w:val="00B76DB2"/>
    <w:rsid w:val="00B800CE"/>
    <w:rsid w:val="00B829E8"/>
    <w:rsid w:val="00B86AC7"/>
    <w:rsid w:val="00B9020D"/>
    <w:rsid w:val="00B93CF6"/>
    <w:rsid w:val="00BA1241"/>
    <w:rsid w:val="00BA5829"/>
    <w:rsid w:val="00BB24E9"/>
    <w:rsid w:val="00BB2774"/>
    <w:rsid w:val="00BB4ED9"/>
    <w:rsid w:val="00BC5FEB"/>
    <w:rsid w:val="00BC724B"/>
    <w:rsid w:val="00BC7735"/>
    <w:rsid w:val="00BD67AC"/>
    <w:rsid w:val="00BD7E65"/>
    <w:rsid w:val="00BE0275"/>
    <w:rsid w:val="00BE73C4"/>
    <w:rsid w:val="00BE7615"/>
    <w:rsid w:val="00C0210C"/>
    <w:rsid w:val="00C103E1"/>
    <w:rsid w:val="00C12AA2"/>
    <w:rsid w:val="00C343B5"/>
    <w:rsid w:val="00C35499"/>
    <w:rsid w:val="00C35AF0"/>
    <w:rsid w:val="00C370A3"/>
    <w:rsid w:val="00C443D7"/>
    <w:rsid w:val="00C47A22"/>
    <w:rsid w:val="00C50D68"/>
    <w:rsid w:val="00C51994"/>
    <w:rsid w:val="00C63BB8"/>
    <w:rsid w:val="00C72E56"/>
    <w:rsid w:val="00C81B60"/>
    <w:rsid w:val="00C86562"/>
    <w:rsid w:val="00C90E5D"/>
    <w:rsid w:val="00CA7B2F"/>
    <w:rsid w:val="00CB7908"/>
    <w:rsid w:val="00CC2D1D"/>
    <w:rsid w:val="00CC78C4"/>
    <w:rsid w:val="00CD4CDA"/>
    <w:rsid w:val="00CE125C"/>
    <w:rsid w:val="00CF0C99"/>
    <w:rsid w:val="00D00A74"/>
    <w:rsid w:val="00D07770"/>
    <w:rsid w:val="00D13D9C"/>
    <w:rsid w:val="00D2461D"/>
    <w:rsid w:val="00D26989"/>
    <w:rsid w:val="00D355DF"/>
    <w:rsid w:val="00D42656"/>
    <w:rsid w:val="00D50BAA"/>
    <w:rsid w:val="00D518BA"/>
    <w:rsid w:val="00D61F9F"/>
    <w:rsid w:val="00D62F69"/>
    <w:rsid w:val="00D74E94"/>
    <w:rsid w:val="00DA59B8"/>
    <w:rsid w:val="00DA59DF"/>
    <w:rsid w:val="00DB2F4C"/>
    <w:rsid w:val="00DD61D1"/>
    <w:rsid w:val="00DE6473"/>
    <w:rsid w:val="00DF79AF"/>
    <w:rsid w:val="00E06128"/>
    <w:rsid w:val="00E12AD1"/>
    <w:rsid w:val="00E12BED"/>
    <w:rsid w:val="00E1331C"/>
    <w:rsid w:val="00E17597"/>
    <w:rsid w:val="00E2420C"/>
    <w:rsid w:val="00E2557C"/>
    <w:rsid w:val="00E30838"/>
    <w:rsid w:val="00E371B3"/>
    <w:rsid w:val="00E37608"/>
    <w:rsid w:val="00E418DE"/>
    <w:rsid w:val="00E42738"/>
    <w:rsid w:val="00E43D21"/>
    <w:rsid w:val="00E449B9"/>
    <w:rsid w:val="00E4620C"/>
    <w:rsid w:val="00E46280"/>
    <w:rsid w:val="00E474D7"/>
    <w:rsid w:val="00E47ACE"/>
    <w:rsid w:val="00E609AC"/>
    <w:rsid w:val="00E60C49"/>
    <w:rsid w:val="00E6295A"/>
    <w:rsid w:val="00E731C0"/>
    <w:rsid w:val="00E73280"/>
    <w:rsid w:val="00E73D2E"/>
    <w:rsid w:val="00E85838"/>
    <w:rsid w:val="00E91CF0"/>
    <w:rsid w:val="00E93540"/>
    <w:rsid w:val="00E94323"/>
    <w:rsid w:val="00EA2735"/>
    <w:rsid w:val="00EA3CE1"/>
    <w:rsid w:val="00EA6275"/>
    <w:rsid w:val="00EB6528"/>
    <w:rsid w:val="00EC79B0"/>
    <w:rsid w:val="00ED28D6"/>
    <w:rsid w:val="00EE0ECF"/>
    <w:rsid w:val="00EF48F5"/>
    <w:rsid w:val="00EF619C"/>
    <w:rsid w:val="00EF75AB"/>
    <w:rsid w:val="00F02AE4"/>
    <w:rsid w:val="00F0569C"/>
    <w:rsid w:val="00F05961"/>
    <w:rsid w:val="00F10F28"/>
    <w:rsid w:val="00F135A2"/>
    <w:rsid w:val="00F3145B"/>
    <w:rsid w:val="00F41243"/>
    <w:rsid w:val="00F428BD"/>
    <w:rsid w:val="00F43527"/>
    <w:rsid w:val="00F470ED"/>
    <w:rsid w:val="00F53548"/>
    <w:rsid w:val="00F538B1"/>
    <w:rsid w:val="00F546EB"/>
    <w:rsid w:val="00F56600"/>
    <w:rsid w:val="00F61967"/>
    <w:rsid w:val="00F67265"/>
    <w:rsid w:val="00F729A1"/>
    <w:rsid w:val="00F77605"/>
    <w:rsid w:val="00F80800"/>
    <w:rsid w:val="00F9134B"/>
    <w:rsid w:val="00FB04B7"/>
    <w:rsid w:val="00FB24D8"/>
    <w:rsid w:val="00FB4C77"/>
    <w:rsid w:val="00FB657D"/>
    <w:rsid w:val="00FE434E"/>
    <w:rsid w:val="00FF087D"/>
    <w:rsid w:val="00FF3D60"/>
    <w:rsid w:val="00FF561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07C3A"/>
  <w15:chartTrackingRefBased/>
  <w15:docId w15:val="{81F29972-15A1-4436-855F-80C5B971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7141"/>
    <w:pPr>
      <w:ind w:left="720"/>
      <w:contextualSpacing/>
    </w:pPr>
  </w:style>
  <w:style w:type="paragraph" w:styleId="Textosinformato">
    <w:name w:val="Plain Text"/>
    <w:basedOn w:val="Normal"/>
    <w:link w:val="TextosinformatoCar"/>
    <w:uiPriority w:val="99"/>
    <w:unhideWhenUsed/>
    <w:rsid w:val="00DF79AF"/>
    <w:pPr>
      <w:spacing w:after="0" w:line="240" w:lineRule="auto"/>
      <w:jc w:val="both"/>
    </w:pPr>
    <w:rPr>
      <w:rFonts w:ascii="Consolas" w:eastAsia="Calibri" w:hAnsi="Consolas" w:cs="Consolas"/>
      <w:color w:val="000000"/>
      <w:sz w:val="21"/>
      <w:szCs w:val="21"/>
    </w:rPr>
  </w:style>
  <w:style w:type="character" w:customStyle="1" w:styleId="TextosinformatoCar">
    <w:name w:val="Texto sin formato Car"/>
    <w:basedOn w:val="Fuentedeprrafopredeter"/>
    <w:link w:val="Textosinformato"/>
    <w:uiPriority w:val="99"/>
    <w:rsid w:val="00DF79AF"/>
    <w:rPr>
      <w:rFonts w:ascii="Consolas" w:eastAsia="Calibri" w:hAnsi="Consolas" w:cs="Consolas"/>
      <w:color w:val="000000"/>
      <w:sz w:val="21"/>
      <w:szCs w:val="21"/>
    </w:rPr>
  </w:style>
  <w:style w:type="character" w:styleId="Refdecomentario">
    <w:name w:val="annotation reference"/>
    <w:basedOn w:val="Fuentedeprrafopredeter"/>
    <w:uiPriority w:val="99"/>
    <w:semiHidden/>
    <w:unhideWhenUsed/>
    <w:rsid w:val="00B569B5"/>
    <w:rPr>
      <w:sz w:val="16"/>
      <w:szCs w:val="16"/>
    </w:rPr>
  </w:style>
  <w:style w:type="paragraph" w:styleId="Textocomentario">
    <w:name w:val="annotation text"/>
    <w:basedOn w:val="Normal"/>
    <w:link w:val="TextocomentarioCar"/>
    <w:uiPriority w:val="99"/>
    <w:unhideWhenUsed/>
    <w:rsid w:val="00B569B5"/>
    <w:pPr>
      <w:spacing w:line="240" w:lineRule="auto"/>
    </w:pPr>
    <w:rPr>
      <w:sz w:val="20"/>
      <w:szCs w:val="20"/>
    </w:rPr>
  </w:style>
  <w:style w:type="character" w:customStyle="1" w:styleId="TextocomentarioCar">
    <w:name w:val="Texto comentario Car"/>
    <w:basedOn w:val="Fuentedeprrafopredeter"/>
    <w:link w:val="Textocomentario"/>
    <w:uiPriority w:val="99"/>
    <w:rsid w:val="00B569B5"/>
    <w:rPr>
      <w:sz w:val="20"/>
      <w:szCs w:val="20"/>
    </w:rPr>
  </w:style>
  <w:style w:type="paragraph" w:styleId="Encabezado">
    <w:name w:val="header"/>
    <w:basedOn w:val="Normal"/>
    <w:link w:val="EncabezadoCar"/>
    <w:uiPriority w:val="99"/>
    <w:unhideWhenUsed/>
    <w:rsid w:val="00A113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1360"/>
  </w:style>
  <w:style w:type="paragraph" w:styleId="Piedepgina">
    <w:name w:val="footer"/>
    <w:basedOn w:val="Normal"/>
    <w:link w:val="PiedepginaCar"/>
    <w:uiPriority w:val="99"/>
    <w:unhideWhenUsed/>
    <w:rsid w:val="00A113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1360"/>
  </w:style>
  <w:style w:type="character" w:styleId="Hipervnculo">
    <w:name w:val="Hyperlink"/>
    <w:basedOn w:val="Fuentedeprrafopredeter"/>
    <w:uiPriority w:val="99"/>
    <w:unhideWhenUsed/>
    <w:rsid w:val="00457886"/>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1110AD"/>
    <w:rPr>
      <w:b/>
      <w:bCs/>
    </w:rPr>
  </w:style>
  <w:style w:type="character" w:customStyle="1" w:styleId="AsuntodelcomentarioCar">
    <w:name w:val="Asunto del comentario Car"/>
    <w:basedOn w:val="TextocomentarioCar"/>
    <w:link w:val="Asuntodelcomentario"/>
    <w:uiPriority w:val="99"/>
    <w:semiHidden/>
    <w:rsid w:val="001110AD"/>
    <w:rPr>
      <w:b/>
      <w:bCs/>
      <w:sz w:val="20"/>
      <w:szCs w:val="20"/>
    </w:rPr>
  </w:style>
  <w:style w:type="paragraph" w:styleId="Textodeglobo">
    <w:name w:val="Balloon Text"/>
    <w:basedOn w:val="Normal"/>
    <w:link w:val="TextodegloboCar"/>
    <w:uiPriority w:val="99"/>
    <w:semiHidden/>
    <w:unhideWhenUsed/>
    <w:rsid w:val="00243D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3D72"/>
    <w:rPr>
      <w:rFonts w:ascii="Segoe UI" w:hAnsi="Segoe UI" w:cs="Segoe UI"/>
      <w:sz w:val="18"/>
      <w:szCs w:val="18"/>
    </w:rPr>
  </w:style>
  <w:style w:type="table" w:styleId="Tablaconcuadrcula">
    <w:name w:val="Table Grid"/>
    <w:basedOn w:val="Tablanormal"/>
    <w:uiPriority w:val="39"/>
    <w:rsid w:val="008C7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081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081E"/>
    <w:rPr>
      <w:sz w:val="20"/>
      <w:szCs w:val="20"/>
    </w:rPr>
  </w:style>
  <w:style w:type="character" w:styleId="Refdenotaalpie">
    <w:name w:val="footnote reference"/>
    <w:basedOn w:val="Fuentedeprrafopredeter"/>
    <w:uiPriority w:val="99"/>
    <w:semiHidden/>
    <w:unhideWhenUsed/>
    <w:rsid w:val="00610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86871">
      <w:bodyDiv w:val="1"/>
      <w:marLeft w:val="0"/>
      <w:marRight w:val="0"/>
      <w:marTop w:val="0"/>
      <w:marBottom w:val="0"/>
      <w:divBdr>
        <w:top w:val="none" w:sz="0" w:space="0" w:color="auto"/>
        <w:left w:val="none" w:sz="0" w:space="0" w:color="auto"/>
        <w:bottom w:val="none" w:sz="0" w:space="0" w:color="auto"/>
        <w:right w:val="none" w:sz="0" w:space="0" w:color="auto"/>
      </w:divBdr>
    </w:div>
    <w:div w:id="560947048">
      <w:bodyDiv w:val="1"/>
      <w:marLeft w:val="0"/>
      <w:marRight w:val="0"/>
      <w:marTop w:val="0"/>
      <w:marBottom w:val="0"/>
      <w:divBdr>
        <w:top w:val="none" w:sz="0" w:space="0" w:color="auto"/>
        <w:left w:val="none" w:sz="0" w:space="0" w:color="auto"/>
        <w:bottom w:val="none" w:sz="0" w:space="0" w:color="auto"/>
        <w:right w:val="none" w:sz="0" w:space="0" w:color="auto"/>
      </w:divBdr>
    </w:div>
    <w:div w:id="86541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EDAB1-BAA9-4884-8909-4B3D93A30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4</Pages>
  <Words>1286</Words>
  <Characters>7079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Morales</dc:creator>
  <cp:keywords/>
  <dc:description/>
  <cp:lastModifiedBy>Mauricio Candia Pavez</cp:lastModifiedBy>
  <cp:revision>239</cp:revision>
  <cp:lastPrinted>2023-01-20T14:42:00Z</cp:lastPrinted>
  <dcterms:created xsi:type="dcterms:W3CDTF">2023-01-24T15:27:00Z</dcterms:created>
  <dcterms:modified xsi:type="dcterms:W3CDTF">2024-07-09T21:00:00Z</dcterms:modified>
</cp:coreProperties>
</file>