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70E0" w14:textId="2ACAC1FF" w:rsidR="00E42738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32"/>
          <w:szCs w:val="32"/>
          <w:lang w:val="es-ES_tradnl"/>
        </w:rPr>
      </w:pPr>
      <w:r w:rsidRPr="00286D37">
        <w:rPr>
          <w:rFonts w:ascii="Arial" w:eastAsia="Arial" w:hAnsi="Arial" w:cs="Arial"/>
          <w:sz w:val="32"/>
          <w:szCs w:val="32"/>
          <w:lang w:val="es-ES_tradnl"/>
        </w:rPr>
        <w:t>Pulso Legislativo FADMED</w:t>
      </w:r>
    </w:p>
    <w:p w14:paraId="50F0A077" w14:textId="744F1CCD" w:rsid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>Ficha Legislativa</w:t>
      </w:r>
    </w:p>
    <w:p w14:paraId="1A10CBBA" w14:textId="63A2D9D2" w:rsidR="00286D37" w:rsidRP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>
        <w:rPr>
          <w:rFonts w:ascii="Arial" w:eastAsia="Arial" w:hAnsi="Arial" w:cs="Arial"/>
          <w:sz w:val="20"/>
          <w:szCs w:val="20"/>
          <w:lang w:val="es-ES_tradnl"/>
        </w:rPr>
        <w:t xml:space="preserve">Actualizada al </w:t>
      </w:r>
      <w:r w:rsidR="00867A1E">
        <w:rPr>
          <w:rFonts w:ascii="Arial" w:eastAsia="Arial" w:hAnsi="Arial" w:cs="Arial"/>
          <w:sz w:val="20"/>
          <w:szCs w:val="20"/>
          <w:lang w:val="es-ES_tradnl"/>
        </w:rPr>
        <w:t>02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0</w:t>
      </w:r>
      <w:r w:rsidR="00867A1E">
        <w:rPr>
          <w:rFonts w:ascii="Arial" w:eastAsia="Arial" w:hAnsi="Arial" w:cs="Arial"/>
          <w:sz w:val="20"/>
          <w:szCs w:val="20"/>
          <w:lang w:val="es-ES_tradnl"/>
        </w:rPr>
        <w:t>8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23</w:t>
      </w:r>
    </w:p>
    <w:p w14:paraId="15D81BBD" w14:textId="1EACF1D6" w:rsidR="00286D37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p w14:paraId="2CD72BD4" w14:textId="77777777" w:rsidR="00286D37" w:rsidRPr="006442DC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tbl>
      <w:tblPr>
        <w:tblW w:w="97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890"/>
      </w:tblGrid>
      <w:tr w:rsidR="00E42738" w:rsidRPr="006442DC" w14:paraId="0B1CB20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6C25DAC6" w14:textId="30B4C850" w:rsidR="00963E61" w:rsidRPr="006442DC" w:rsidRDefault="009462FF" w:rsidP="00963E61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  <w:r w:rsidRPr="006442DC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286D37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>Datos Generales</w:t>
            </w:r>
          </w:p>
          <w:p w14:paraId="13A70FFA" w14:textId="6EE5421A" w:rsidR="00E42738" w:rsidRPr="006442DC" w:rsidRDefault="00E42738" w:rsidP="005F2DA9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69164D" w:rsidRPr="006442DC" w14:paraId="3E4AC6EF" w14:textId="77777777" w:rsidTr="00B62121">
        <w:trPr>
          <w:trHeight w:val="8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914A" w14:textId="371F8F5E" w:rsidR="0069164D" w:rsidRPr="006442DC" w:rsidRDefault="0093255B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3255B">
              <w:rPr>
                <w:rFonts w:ascii="Arial" w:eastAsia="Cambria" w:hAnsi="Arial" w:cs="Arial"/>
                <w:lang w:val="es-ES_tradnl"/>
              </w:rPr>
              <w:t>Modifica diversos cuerpos legales para aumentar las sanciones por la obtención y otorgamiento de licencias médicas falsas</w:t>
            </w:r>
            <w:r>
              <w:rPr>
                <w:rFonts w:ascii="Arial" w:eastAsia="Cambria" w:hAnsi="Arial" w:cs="Arial"/>
                <w:lang w:val="es-ES_tradnl"/>
              </w:rPr>
              <w:t>.</w:t>
            </w:r>
          </w:p>
        </w:tc>
      </w:tr>
      <w:tr w:rsidR="0069164D" w:rsidRPr="006442DC" w14:paraId="518356F5" w14:textId="77777777" w:rsidTr="00735D11">
        <w:trPr>
          <w:trHeight w:val="64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C67" w14:textId="77777777" w:rsidR="0069164D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6DC3729F" w14:textId="2A3A4317" w:rsidR="0071379D" w:rsidRPr="006442DC" w:rsidRDefault="0071379D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B62121">
              <w:rPr>
                <w:rFonts w:ascii="Arial" w:eastAsia="Cambria" w:hAnsi="Arial" w:cs="Arial"/>
                <w:b/>
                <w:lang w:val="es-ES_tradnl"/>
              </w:rPr>
              <w:t>N° boletín</w:t>
            </w:r>
            <w:r w:rsidR="0093255B">
              <w:rPr>
                <w:rFonts w:ascii="Arial" w:eastAsia="Cambria" w:hAnsi="Arial" w:cs="Arial"/>
                <w:lang w:val="es-ES_tradnl"/>
              </w:rPr>
              <w:t xml:space="preserve">: </w:t>
            </w:r>
            <w:r w:rsidR="007F744C" w:rsidRPr="007F744C">
              <w:rPr>
                <w:rFonts w:ascii="Arial" w:eastAsia="Cambria" w:hAnsi="Arial" w:cs="Arial"/>
                <w:lang w:val="es-ES_tradnl"/>
              </w:rPr>
              <w:t>15688-11</w:t>
            </w:r>
          </w:p>
          <w:p w14:paraId="1A022C92" w14:textId="0861D4DD" w:rsidR="0069164D" w:rsidRPr="006442DC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07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2FD67641" w14:textId="7BA98575" w:rsidR="0069164D" w:rsidRPr="00A11360" w:rsidRDefault="0071379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Fecha de ingreso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7F744C">
              <w:rPr>
                <w:rFonts w:ascii="Arial" w:eastAsia="Cambria" w:hAnsi="Arial" w:cs="Arial"/>
                <w:lang w:val="es-ES_tradnl"/>
              </w:rPr>
              <w:t>24</w:t>
            </w:r>
            <w:r>
              <w:rPr>
                <w:rFonts w:ascii="Arial" w:eastAsia="Cambria" w:hAnsi="Arial" w:cs="Arial"/>
                <w:lang w:val="es-ES_tradnl"/>
              </w:rPr>
              <w:t xml:space="preserve"> de </w:t>
            </w:r>
            <w:r w:rsidR="007F744C">
              <w:rPr>
                <w:rFonts w:ascii="Arial" w:eastAsia="Cambria" w:hAnsi="Arial" w:cs="Arial"/>
                <w:lang w:val="es-ES_tradnl"/>
              </w:rPr>
              <w:t>enero</w:t>
            </w:r>
            <w:r>
              <w:rPr>
                <w:rFonts w:ascii="Arial" w:eastAsia="Cambria" w:hAnsi="Arial" w:cs="Arial"/>
                <w:lang w:val="es-ES_tradnl"/>
              </w:rPr>
              <w:t>, 202</w:t>
            </w:r>
            <w:r w:rsidR="007F744C">
              <w:rPr>
                <w:rFonts w:ascii="Arial" w:eastAsia="Cambria" w:hAnsi="Arial" w:cs="Arial"/>
                <w:lang w:val="es-ES_tradnl"/>
              </w:rPr>
              <w:t>3</w:t>
            </w:r>
          </w:p>
        </w:tc>
      </w:tr>
      <w:tr w:rsidR="0069164D" w:rsidRPr="006442DC" w14:paraId="21E0FB0D" w14:textId="77777777" w:rsidTr="00735D11">
        <w:trPr>
          <w:trHeight w:val="83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46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1DEFF7CD" w14:textId="59E6B208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Origen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6442DC">
              <w:rPr>
                <w:rFonts w:ascii="Arial" w:eastAsia="Cambria" w:hAnsi="Arial" w:cs="Arial"/>
                <w:lang w:val="es-ES_tradnl"/>
              </w:rPr>
              <w:t xml:space="preserve"> Moción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3C48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33BE2D6A" w14:textId="4854913D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Cámara de Ingreso:</w:t>
            </w:r>
            <w:r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7F744C">
              <w:rPr>
                <w:rFonts w:ascii="Arial" w:eastAsia="Cambria" w:hAnsi="Arial" w:cs="Arial"/>
                <w:lang w:val="es-ES_tradnl"/>
              </w:rPr>
              <w:t>Cámara de Diputados</w:t>
            </w:r>
          </w:p>
        </w:tc>
      </w:tr>
      <w:tr w:rsidR="0069164D" w:rsidRPr="004B7CEC" w14:paraId="2BDCA821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B7C4" w14:textId="21508C91" w:rsidR="0069164D" w:rsidRPr="004B7CEC" w:rsidRDefault="0071379D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Autores: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>Roberto Arroyo</w:t>
            </w:r>
            <w:r w:rsidR="00C21B75">
              <w:rPr>
                <w:rFonts w:ascii="Arial" w:eastAsia="Cambria" w:hAnsi="Arial" w:cs="Arial"/>
                <w:lang w:val="es-ES_tradnl"/>
              </w:rPr>
              <w:t xml:space="preserve"> (PDG),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Marta Bravo</w:t>
            </w:r>
            <w:r w:rsidR="006618BE">
              <w:rPr>
                <w:rFonts w:ascii="Arial" w:eastAsia="Cambria" w:hAnsi="Arial" w:cs="Arial"/>
                <w:lang w:val="es-ES_tradnl"/>
              </w:rPr>
              <w:t xml:space="preserve"> (UDI),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Andrés Celis</w:t>
            </w:r>
            <w:r w:rsidR="006618BE">
              <w:rPr>
                <w:rFonts w:ascii="Arial" w:eastAsia="Cambria" w:hAnsi="Arial" w:cs="Arial"/>
                <w:lang w:val="es-ES_tradnl"/>
              </w:rPr>
              <w:t xml:space="preserve"> (RN),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Jorge Guzmán (A)</w:t>
            </w:r>
            <w:r w:rsidR="008036AB">
              <w:rPr>
                <w:rFonts w:ascii="Arial" w:eastAsia="Cambria" w:hAnsi="Arial" w:cs="Arial"/>
                <w:lang w:val="es-ES_tradnl"/>
              </w:rPr>
              <w:t xml:space="preserve"> (Evópoli),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Tomás Lagomarsino</w:t>
            </w:r>
            <w:r w:rsidR="00103262">
              <w:rPr>
                <w:rFonts w:ascii="Arial" w:eastAsia="Cambria" w:hAnsi="Arial" w:cs="Arial"/>
                <w:lang w:val="es-ES_tradnl"/>
              </w:rPr>
              <w:t xml:space="preserve"> (IND),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Enrique Lee</w:t>
            </w:r>
            <w:r w:rsidR="00103262">
              <w:rPr>
                <w:rFonts w:ascii="Arial" w:eastAsia="Cambria" w:hAnsi="Arial" w:cs="Arial"/>
                <w:lang w:val="es-ES_tradnl"/>
              </w:rPr>
              <w:t xml:space="preserve"> (PRI),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Daniel Lilayu</w:t>
            </w:r>
            <w:r w:rsidR="00103262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2E62BA">
              <w:rPr>
                <w:rFonts w:ascii="Arial" w:eastAsia="Cambria" w:hAnsi="Arial" w:cs="Arial"/>
                <w:lang w:val="es-ES_tradnl"/>
              </w:rPr>
              <w:t>UDI),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Christian Matheson</w:t>
            </w:r>
            <w:r w:rsidR="002E62BA">
              <w:rPr>
                <w:rFonts w:ascii="Arial" w:eastAsia="Cambria" w:hAnsi="Arial" w:cs="Arial"/>
                <w:lang w:val="es-ES_tradnl"/>
              </w:rPr>
              <w:t xml:space="preserve"> (IND),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Agustín Romero</w:t>
            </w:r>
            <w:r w:rsidR="002E62BA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6A0979">
              <w:rPr>
                <w:rFonts w:ascii="Arial" w:eastAsia="Cambria" w:hAnsi="Arial" w:cs="Arial"/>
                <w:lang w:val="es-ES_tradnl"/>
              </w:rPr>
              <w:t>PLR),</w:t>
            </w:r>
            <w:r w:rsidR="00C21B75" w:rsidRPr="00C21B75">
              <w:rPr>
                <w:rFonts w:ascii="Arial" w:eastAsia="Cambria" w:hAnsi="Arial" w:cs="Arial"/>
                <w:lang w:val="es-ES_tradnl"/>
              </w:rPr>
              <w:t xml:space="preserve"> Francisco Undurraga</w:t>
            </w:r>
            <w:r w:rsidR="006A0979">
              <w:rPr>
                <w:rFonts w:ascii="Arial" w:eastAsia="Cambria" w:hAnsi="Arial" w:cs="Arial"/>
                <w:lang w:val="es-ES_tradnl"/>
              </w:rPr>
              <w:t xml:space="preserve"> (Evópoli)</w:t>
            </w:r>
          </w:p>
        </w:tc>
      </w:tr>
      <w:tr w:rsidR="0069164D" w:rsidRPr="006442DC" w14:paraId="60DCBE63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973" w14:textId="77777777" w:rsidR="0069164D" w:rsidRPr="004B7CE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</w:rPr>
            </w:pPr>
          </w:p>
          <w:p w14:paraId="612C8E80" w14:textId="3B73F27E" w:rsidR="0071379D" w:rsidRPr="006442DC" w:rsidRDefault="002E7B46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Palabras Claves</w:t>
            </w:r>
            <w:r w:rsidR="0071379D"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</w:p>
          <w:p w14:paraId="0563A696" w14:textId="77777777" w:rsidR="0071379D" w:rsidRPr="006442DC" w:rsidRDefault="0071379D" w:rsidP="0071379D">
            <w:pPr>
              <w:pStyle w:val="Textosinformato"/>
              <w:rPr>
                <w:rFonts w:ascii="Arial" w:hAnsi="Arial" w:cs="Arial"/>
                <w:sz w:val="22"/>
                <w:szCs w:val="22"/>
              </w:rPr>
            </w:pPr>
          </w:p>
          <w:p w14:paraId="5AFA730D" w14:textId="314CD26C" w:rsidR="0071379D" w:rsidRDefault="007F4B4F" w:rsidP="0071379D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Delito</w:t>
            </w:r>
          </w:p>
          <w:p w14:paraId="4552C19B" w14:textId="6220E198" w:rsidR="0071379D" w:rsidRPr="00BB1A39" w:rsidRDefault="007F4B4F" w:rsidP="0071379D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Licencias médicas</w:t>
            </w:r>
          </w:p>
          <w:p w14:paraId="45F84786" w14:textId="77777777" w:rsidR="0069164D" w:rsidRPr="006442DC" w:rsidRDefault="0069164D" w:rsidP="0069164D">
            <w:pPr>
              <w:spacing w:after="0" w:line="240" w:lineRule="auto"/>
              <w:ind w:left="360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</w:tr>
      <w:tr w:rsidR="0069164D" w:rsidRPr="006442DC" w14:paraId="038F1494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EE6" w14:textId="7FD9A884" w:rsidR="0071379D" w:rsidRDefault="0071379D" w:rsidP="0071379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A11360">
              <w:rPr>
                <w:rFonts w:ascii="Arial" w:eastAsia="Cambria" w:hAnsi="Arial" w:cs="Arial"/>
                <w:b/>
                <w:lang w:val="es-ES_tradnl"/>
              </w:rPr>
              <w:t>Estado:</w:t>
            </w:r>
            <w:r w:rsidRPr="00A11360">
              <w:rPr>
                <w:rFonts w:ascii="Arial" w:eastAsia="Cambria" w:hAnsi="Arial" w:cs="Arial"/>
                <w:lang w:val="es-ES_tradnl"/>
              </w:rPr>
              <w:t xml:space="preserve"> Primer trámite </w:t>
            </w:r>
            <w:r>
              <w:rPr>
                <w:rFonts w:ascii="Arial" w:eastAsia="Cambria" w:hAnsi="Arial" w:cs="Arial"/>
                <w:lang w:val="es-ES_tradnl"/>
              </w:rPr>
              <w:t>c</w:t>
            </w:r>
            <w:r w:rsidRPr="00A11360">
              <w:rPr>
                <w:rFonts w:ascii="Arial" w:eastAsia="Cambria" w:hAnsi="Arial" w:cs="Arial"/>
                <w:lang w:val="es-ES_tradnl"/>
              </w:rPr>
              <w:t>onstitucional/Comisión de Salud de</w:t>
            </w:r>
            <w:r w:rsidR="00DE3D7E">
              <w:rPr>
                <w:rFonts w:ascii="Arial" w:eastAsia="Cambria" w:hAnsi="Arial" w:cs="Arial"/>
                <w:lang w:val="es-ES_tradnl"/>
              </w:rPr>
              <w:t xml:space="preserve"> la Cámara de Diputados</w:t>
            </w:r>
            <w:r w:rsidRPr="00A11360">
              <w:rPr>
                <w:rFonts w:ascii="Arial" w:eastAsia="Cambria" w:hAnsi="Arial" w:cs="Arial"/>
                <w:lang w:val="es-ES_tradnl"/>
              </w:rPr>
              <w:t>.</w:t>
            </w:r>
          </w:p>
          <w:p w14:paraId="243F0FB4" w14:textId="4985020D" w:rsidR="004C20BA" w:rsidRDefault="0071379D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              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25/0</w:t>
            </w:r>
            <w:r w:rsidR="00EF3A4F">
              <w:rPr>
                <w:rFonts w:ascii="Arial" w:eastAsia="Cambria" w:hAnsi="Arial" w:cs="Arial"/>
                <w:u w:val="single"/>
                <w:lang w:val="es-ES_tradnl"/>
              </w:rPr>
              <w:t>1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/2023:</w:t>
            </w:r>
            <w:r w:rsidR="004A4999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EF3A4F" w:rsidRPr="00EF3A4F">
              <w:rPr>
                <w:rFonts w:ascii="Arial" w:eastAsia="Cambria" w:hAnsi="Arial" w:cs="Arial"/>
                <w:lang w:val="es-ES_tradnl"/>
              </w:rPr>
              <w:t>Cuenta de proyecto. Pasa a Comisión de Salud</w:t>
            </w:r>
            <w:r w:rsidR="00EF3A4F">
              <w:rPr>
                <w:rFonts w:ascii="Arial" w:eastAsia="Cambria" w:hAnsi="Arial" w:cs="Arial"/>
                <w:lang w:val="es-ES_tradnl"/>
              </w:rPr>
              <w:t>.</w:t>
            </w:r>
          </w:p>
          <w:p w14:paraId="78EE0517" w14:textId="05262AA8" w:rsidR="002E7B46" w:rsidRPr="00A11360" w:rsidRDefault="002E7B46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proyecto de ley no se encuentra en tabla para las próximas dos citaciones de la Comisión de Salud del Senado.</w:t>
            </w:r>
            <w:r>
              <w:rPr>
                <w:rStyle w:val="Refdenotaalpie"/>
                <w:rFonts w:ascii="Arial" w:eastAsia="Cambria" w:hAnsi="Arial" w:cs="Arial"/>
                <w:lang w:val="es-ES_tradnl"/>
              </w:rPr>
              <w:footnoteReference w:id="1"/>
            </w:r>
          </w:p>
        </w:tc>
      </w:tr>
      <w:tr w:rsidR="0069164D" w:rsidRPr="006442DC" w14:paraId="0A9AEF6A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C737" w14:textId="77777777" w:rsidR="00E17597" w:rsidRDefault="00E17597" w:rsidP="00E17597">
            <w:pPr>
              <w:spacing w:before="240" w:line="240" w:lineRule="auto"/>
              <w:jc w:val="both"/>
              <w:rPr>
                <w:rFonts w:ascii="Arial" w:eastAsia="Cambria" w:hAnsi="Arial" w:cs="Arial"/>
                <w:b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Antecedentes y Contenidos</w:t>
            </w:r>
          </w:p>
          <w:p w14:paraId="380F7FA4" w14:textId="311EB227" w:rsidR="0061081E" w:rsidRDefault="00975D4E" w:rsidP="006523C3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El objetivo del proyecto de ley es </w:t>
            </w:r>
            <w:r w:rsidR="006523C3">
              <w:rPr>
                <w:rFonts w:ascii="Arial" w:eastAsia="Cambria" w:hAnsi="Arial" w:cs="Arial"/>
                <w:lang w:val="es-ES_tradnl"/>
              </w:rPr>
              <w:t>“r</w:t>
            </w:r>
            <w:r w:rsidR="006523C3" w:rsidRPr="006523C3">
              <w:rPr>
                <w:rFonts w:ascii="Arial" w:eastAsia="Cambria" w:hAnsi="Arial" w:cs="Arial"/>
                <w:lang w:val="es-ES_tradnl"/>
              </w:rPr>
              <w:t>egular el otorgamiento, obtención y tramitación de licencias médica, a través de</w:t>
            </w:r>
            <w:r w:rsidR="006523C3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6523C3" w:rsidRPr="006523C3">
              <w:rPr>
                <w:rFonts w:ascii="Arial" w:eastAsia="Cambria" w:hAnsi="Arial" w:cs="Arial"/>
                <w:lang w:val="es-ES_tradnl"/>
              </w:rPr>
              <w:t xml:space="preserve">la modificación de diversos cuerpos legales, para prevenir y sancionar </w:t>
            </w:r>
            <w:r w:rsidR="006523C3" w:rsidRPr="006523C3">
              <w:rPr>
                <w:rFonts w:ascii="Arial" w:eastAsia="Cambria" w:hAnsi="Arial" w:cs="Arial"/>
                <w:lang w:val="es-ES_tradnl"/>
              </w:rPr>
              <w:lastRenderedPageBreak/>
              <w:t>conductas</w:t>
            </w:r>
            <w:r w:rsidR="006523C3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6523C3" w:rsidRPr="006523C3">
              <w:rPr>
                <w:rFonts w:ascii="Arial" w:eastAsia="Cambria" w:hAnsi="Arial" w:cs="Arial"/>
                <w:lang w:val="es-ES_tradnl"/>
              </w:rPr>
              <w:t>fraudulentas, ilegales o abusivas respecto del otorgamiento, obtención o tramitación</w:t>
            </w:r>
            <w:r w:rsidR="006523C3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6523C3" w:rsidRPr="006523C3">
              <w:rPr>
                <w:rFonts w:ascii="Arial" w:eastAsia="Cambria" w:hAnsi="Arial" w:cs="Arial"/>
                <w:lang w:val="es-ES_tradnl"/>
              </w:rPr>
              <w:t>de las mismas</w:t>
            </w:r>
            <w:r w:rsidR="006523C3">
              <w:rPr>
                <w:rFonts w:ascii="Arial" w:eastAsia="Cambria" w:hAnsi="Arial" w:cs="Arial"/>
                <w:lang w:val="es-ES_tradnl"/>
              </w:rPr>
              <w:t>”</w:t>
            </w:r>
            <w:r w:rsidR="006523C3" w:rsidRPr="006523C3">
              <w:rPr>
                <w:rFonts w:ascii="Arial" w:eastAsia="Cambria" w:hAnsi="Arial" w:cs="Arial"/>
                <w:lang w:val="es-ES_tradnl"/>
              </w:rPr>
              <w:t>.</w:t>
            </w:r>
            <w:r w:rsidR="00B474F6">
              <w:rPr>
                <w:rFonts w:ascii="Arial" w:eastAsia="Cambria" w:hAnsi="Arial" w:cs="Arial"/>
                <w:lang w:val="es-ES_tradnl"/>
              </w:rPr>
              <w:t xml:space="preserve"> Su finalidad central es agravar el otorgamiento de licencias médicas falsas.</w:t>
            </w:r>
          </w:p>
          <w:p w14:paraId="11BAC246" w14:textId="1539DEE3" w:rsidR="003E3642" w:rsidRDefault="00A72E55" w:rsidP="006523C3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Respeto a sus antecedentes de hecho, </w:t>
            </w:r>
            <w:r w:rsidR="0095181E">
              <w:rPr>
                <w:rFonts w:ascii="Arial" w:eastAsia="Cambria" w:hAnsi="Arial" w:cs="Arial"/>
                <w:lang w:val="es-ES_tradnl"/>
              </w:rPr>
              <w:t xml:space="preserve">enuncia una serie de hechos delictivos que involucran la emisión fraudulenta de licencias médicas: </w:t>
            </w:r>
            <w:r w:rsidR="009806F0">
              <w:rPr>
                <w:rFonts w:ascii="Arial" w:eastAsia="Cambria" w:hAnsi="Arial" w:cs="Arial"/>
                <w:lang w:val="es-ES_tradnl"/>
              </w:rPr>
              <w:t xml:space="preserve">una querella criminal interpuesta por el Consejo de Defensa del Estado </w:t>
            </w:r>
            <w:r w:rsidR="000A0B17">
              <w:rPr>
                <w:rFonts w:ascii="Arial" w:eastAsia="Cambria" w:hAnsi="Arial" w:cs="Arial"/>
                <w:lang w:val="es-ES_tradnl"/>
              </w:rPr>
              <w:t>a fines de 2021 (5354 licencias médicas)</w:t>
            </w:r>
            <w:r w:rsidR="00A226A0">
              <w:rPr>
                <w:rFonts w:ascii="Arial" w:eastAsia="Cambria" w:hAnsi="Arial" w:cs="Arial"/>
                <w:lang w:val="es-ES_tradnl"/>
              </w:rPr>
              <w:t>;</w:t>
            </w:r>
            <w:r w:rsidR="00A8110D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A226A0">
              <w:rPr>
                <w:rFonts w:ascii="Arial" w:eastAsia="Cambria" w:hAnsi="Arial" w:cs="Arial"/>
                <w:lang w:val="es-ES_tradnl"/>
              </w:rPr>
              <w:t xml:space="preserve">una estimación del Ministerio Publico para el año 2023, </w:t>
            </w:r>
            <w:r w:rsidR="0063304A">
              <w:rPr>
                <w:rFonts w:ascii="Arial" w:eastAsia="Cambria" w:hAnsi="Arial" w:cs="Arial"/>
                <w:lang w:val="es-ES_tradnl"/>
              </w:rPr>
              <w:t xml:space="preserve">que calcula un daño al Fisco de setecientos millones de pesos en licencias falsas; </w:t>
            </w:r>
            <w:r w:rsidR="004A6186">
              <w:rPr>
                <w:rFonts w:ascii="Arial" w:eastAsia="Cambria" w:hAnsi="Arial" w:cs="Arial"/>
                <w:lang w:val="es-ES_tradnl"/>
              </w:rPr>
              <w:t xml:space="preserve">y una formalización a </w:t>
            </w:r>
            <w:r w:rsidR="00DE0A9B">
              <w:rPr>
                <w:rFonts w:ascii="Arial" w:eastAsia="Cambria" w:hAnsi="Arial" w:cs="Arial"/>
                <w:lang w:val="es-ES_tradnl"/>
              </w:rPr>
              <w:t>alrededor de treinta imputados por emisión de licencias falsas</w:t>
            </w:r>
            <w:r w:rsidR="004E5CD5">
              <w:rPr>
                <w:rFonts w:ascii="Arial" w:eastAsia="Cambria" w:hAnsi="Arial" w:cs="Arial"/>
                <w:lang w:val="es-ES_tradnl"/>
              </w:rPr>
              <w:t>, donde uno solo de ellos habría emitido dieciséis mil de estas.</w:t>
            </w:r>
          </w:p>
          <w:p w14:paraId="2C20F3A8" w14:textId="1296E56A" w:rsidR="00E17597" w:rsidRDefault="00E17597" w:rsidP="00E17597">
            <w:pPr>
              <w:jc w:val="both"/>
              <w:textAlignment w:val="baseline"/>
              <w:rPr>
                <w:rFonts w:ascii="Arial" w:eastAsia="Cambria" w:hAnsi="Arial" w:cs="Arial"/>
                <w:b/>
                <w:u w:val="single"/>
                <w:lang w:val="es-ES_tradnl"/>
              </w:rPr>
            </w:pPr>
            <w:r w:rsidRPr="00AD0D7B">
              <w:rPr>
                <w:rFonts w:ascii="Arial" w:eastAsia="Cambria" w:hAnsi="Arial" w:cs="Arial"/>
                <w:b/>
                <w:u w:val="single"/>
                <w:lang w:val="es-ES_tradnl"/>
              </w:rPr>
              <w:t>Contenido del Proyecto</w:t>
            </w:r>
          </w:p>
          <w:p w14:paraId="30EDE14C" w14:textId="77777777" w:rsidR="00BA1241" w:rsidRDefault="00B474F6" w:rsidP="00B474F6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 w:rsidRPr="00B474F6">
              <w:rPr>
                <w:rFonts w:ascii="Arial" w:eastAsia="Cambria" w:hAnsi="Arial" w:cs="Arial"/>
                <w:lang w:val="es-ES_tradnl"/>
              </w:rPr>
              <w:t>El proyecto</w:t>
            </w:r>
            <w:r>
              <w:rPr>
                <w:rFonts w:ascii="Arial" w:eastAsia="Cambria" w:hAnsi="Arial" w:cs="Arial"/>
                <w:lang w:val="es-ES_tradnl"/>
              </w:rPr>
              <w:t xml:space="preserve"> contiene cinco artículos, </w:t>
            </w:r>
            <w:r w:rsidR="00043F36">
              <w:rPr>
                <w:rFonts w:ascii="Arial" w:eastAsia="Cambria" w:hAnsi="Arial" w:cs="Arial"/>
                <w:lang w:val="es-ES_tradnl"/>
              </w:rPr>
              <w:t xml:space="preserve">introduciendo cambios </w:t>
            </w:r>
            <w:r w:rsidR="00305615">
              <w:rPr>
                <w:rFonts w:ascii="Arial" w:eastAsia="Cambria" w:hAnsi="Arial" w:cs="Arial"/>
                <w:lang w:val="es-ES_tradnl"/>
              </w:rPr>
              <w:t>a cinco cuerpos legales:</w:t>
            </w:r>
          </w:p>
          <w:p w14:paraId="15447D97" w14:textId="77777777" w:rsidR="00305615" w:rsidRDefault="00305615" w:rsidP="00305615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Código Penal.</w:t>
            </w:r>
          </w:p>
          <w:p w14:paraId="35424E85" w14:textId="77777777" w:rsidR="00305615" w:rsidRDefault="00305615" w:rsidP="00305615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La Ley N° 20.</w:t>
            </w:r>
            <w:r w:rsidR="006A1526">
              <w:rPr>
                <w:rFonts w:ascii="Arial" w:eastAsia="Cambria" w:hAnsi="Arial" w:cs="Arial"/>
                <w:lang w:val="es-ES_tradnl"/>
              </w:rPr>
              <w:t>585 sobre otorgamiento y uso de licencias médicas.</w:t>
            </w:r>
          </w:p>
          <w:p w14:paraId="752D189B" w14:textId="77777777" w:rsidR="006A1526" w:rsidRDefault="006A1526" w:rsidP="00305615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Código del Trabajo.</w:t>
            </w:r>
          </w:p>
          <w:p w14:paraId="6EC53979" w14:textId="77777777" w:rsidR="006A1526" w:rsidRDefault="00503346" w:rsidP="00305615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Estatuto Administrativo.</w:t>
            </w:r>
          </w:p>
          <w:p w14:paraId="47A4714A" w14:textId="36BC233B" w:rsidR="00503346" w:rsidRPr="00305615" w:rsidRDefault="007435C1" w:rsidP="00305615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Estatuto Administrativo para Funcionarios Municipales.</w:t>
            </w:r>
          </w:p>
        </w:tc>
      </w:tr>
      <w:tr w:rsidR="0069164D" w:rsidRPr="001C05A0" w14:paraId="0E19362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24E4" w14:textId="79ABAAE5" w:rsidR="0016157E" w:rsidRDefault="00A46C2A" w:rsidP="00BE075C">
            <w:pPr>
              <w:spacing w:before="24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A46C2A">
              <w:rPr>
                <w:rFonts w:ascii="Arial" w:eastAsia="Cambria" w:hAnsi="Arial" w:cs="Arial"/>
                <w:b/>
              </w:rPr>
              <w:lastRenderedPageBreak/>
              <w:t xml:space="preserve">Proyecto de Ley </w:t>
            </w:r>
            <w:r w:rsidR="00BE075C">
              <w:rPr>
                <w:rFonts w:ascii="Arial" w:eastAsia="Cambria" w:hAnsi="Arial" w:cs="Arial"/>
                <w:b/>
              </w:rPr>
              <w:t>Presentado</w:t>
            </w:r>
          </w:p>
          <w:p w14:paraId="4C2D24B8" w14:textId="29671BB6" w:rsidR="00250B0E" w:rsidRDefault="00CA4D41" w:rsidP="00CA4D41">
            <w:p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F150EE">
              <w:rPr>
                <w:rFonts w:ascii="Arial" w:eastAsia="Cambria" w:hAnsi="Arial" w:cs="Arial"/>
                <w:b/>
                <w:lang w:val="es-ES_tradnl"/>
              </w:rPr>
              <w:t>Artículo primero</w:t>
            </w:r>
            <w:r w:rsidR="00F150EE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 xml:space="preserve"> Modificase el artículo 202 del Código Penal en el siguiente</w:t>
            </w:r>
            <w:r w:rsidR="00250B0E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sentido:</w:t>
            </w:r>
          </w:p>
          <w:p w14:paraId="2C7E939A" w14:textId="77777777" w:rsidR="00250B0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Suprímase el inciso primero.</w:t>
            </w:r>
          </w:p>
          <w:p w14:paraId="57D35CC8" w14:textId="77777777" w:rsidR="00250B0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En el inciso segundo, reemplácese la frase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El que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El empleado público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o particular que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77311B90" w14:textId="77777777" w:rsidR="00F150E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En el inciso segundo, a continuación de la expresión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obtención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”, incorpórese</w:t>
            </w:r>
            <w:r w:rsidR="00250B0E" w:rsidRPr="00250B0E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 xml:space="preserve">la frase “,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a cualquier título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,”</w:t>
            </w:r>
          </w:p>
          <w:p w14:paraId="11205391" w14:textId="77777777" w:rsidR="00F150E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En el inciso segundo, reemplácese la expresión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reclusión menor en sus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grados mínimo a medio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presidio menor en su grado máximo a presidio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mayor en su grado medio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50FDDA6A" w14:textId="77777777" w:rsidR="00F150E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En el inciso segundo, reemplácese la frase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veinticinco a doscientas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cincuenta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cincuenta a quinientas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61B1671D" w14:textId="77777777" w:rsidR="00F150E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En el inciso tercero, reemplácese la frase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cincuenta a quinientas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cien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a mil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03F5DF3B" w14:textId="77777777" w:rsidR="00F150E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En el inciso final reemplácese la frase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de setenta y cinco a setecientas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cincuenta unidades tributarias mensuales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del tanto al duplo del daño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fiscal efectivamente realizado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0BDDD7DA" w14:textId="6DCD9C66" w:rsidR="00CA4D41" w:rsidRPr="00250B0E" w:rsidRDefault="00CA4D41" w:rsidP="00250B0E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250B0E">
              <w:rPr>
                <w:rFonts w:ascii="Arial" w:eastAsia="Cambria" w:hAnsi="Arial" w:cs="Arial"/>
                <w:bCs/>
                <w:lang w:val="es-ES_tradnl"/>
              </w:rPr>
              <w:t>En el inciso final, a continuación del punto aparte, que pasa a ser seguido,</w:t>
            </w:r>
            <w:r w:rsidR="00250B0E" w:rsidRPr="00250B0E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incorpórese la frase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Asimismo, en el caso de reincidencia el tribunal podrá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aplicar la pena de inhabilitación absoluta perpetua para emitir licencias</w:t>
            </w:r>
            <w:r w:rsidR="00250B0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médicas</w:t>
            </w:r>
            <w:r w:rsidRPr="00250B0E">
              <w:rPr>
                <w:rFonts w:ascii="Arial" w:eastAsia="Cambria" w:hAnsi="Arial" w:cs="Arial"/>
                <w:bCs/>
                <w:lang w:val="es-ES_tradnl"/>
              </w:rPr>
              <w:t>.”.</w:t>
            </w:r>
          </w:p>
          <w:p w14:paraId="7127F935" w14:textId="24E026CB" w:rsidR="00F93FC7" w:rsidRDefault="00CA4D41" w:rsidP="00CA4D41">
            <w:p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D3314E">
              <w:rPr>
                <w:rFonts w:ascii="Arial" w:eastAsia="Cambria" w:hAnsi="Arial" w:cs="Arial"/>
                <w:b/>
                <w:lang w:val="es-ES_tradnl"/>
              </w:rPr>
              <w:t>Artículo segundo</w:t>
            </w:r>
            <w:r w:rsidR="00D3314E" w:rsidRPr="00D3314E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 xml:space="preserve"> Modificase la Ley N°20.585, sobre otorgamiento y uso de</w:t>
            </w:r>
            <w:r w:rsidR="00B01C58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licencias médicas, en los siguientes términos:</w:t>
            </w:r>
          </w:p>
          <w:p w14:paraId="02173497" w14:textId="77777777" w:rsidR="005241D1" w:rsidRDefault="00CA4D41" w:rsidP="00F93FC7">
            <w:pPr>
              <w:pStyle w:val="Prrafodelista"/>
              <w:numPr>
                <w:ilvl w:val="0"/>
                <w:numId w:val="13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F93FC7">
              <w:rPr>
                <w:rFonts w:ascii="Arial" w:eastAsia="Cambria" w:hAnsi="Arial" w:cs="Arial"/>
                <w:bCs/>
                <w:lang w:val="es-ES_tradnl"/>
              </w:rPr>
              <w:t>Modificase el artículo 5° en el siguiente sentido:</w:t>
            </w:r>
            <w:r w:rsidR="00B01C58" w:rsidRPr="00F93FC7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</w:p>
          <w:p w14:paraId="50F234FB" w14:textId="77777777" w:rsidR="00A41708" w:rsidRDefault="00CA4D41" w:rsidP="005241D1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F93FC7">
              <w:rPr>
                <w:rFonts w:ascii="Arial" w:eastAsia="Cambria" w:hAnsi="Arial" w:cs="Arial"/>
                <w:bCs/>
                <w:lang w:val="es-ES_tradnl"/>
              </w:rPr>
              <w:lastRenderedPageBreak/>
              <w:t xml:space="preserve">En el numeral 1, reemplácese el guarismo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“7,5”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 xml:space="preserve"> por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“50”.</w:t>
            </w:r>
          </w:p>
          <w:p w14:paraId="2631149E" w14:textId="77777777" w:rsidR="00A41708" w:rsidRDefault="00CA4D41" w:rsidP="005241D1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F93FC7">
              <w:rPr>
                <w:rFonts w:ascii="Arial" w:eastAsia="Cambria" w:hAnsi="Arial" w:cs="Arial"/>
                <w:bCs/>
                <w:lang w:val="es-ES_tradnl"/>
              </w:rPr>
              <w:t xml:space="preserve">En el numeral 2, reemplácese la palabra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“treinta”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 xml:space="preserve"> por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“noventa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”; el</w:t>
            </w:r>
            <w:r w:rsidR="00B3709F" w:rsidRPr="00F93FC7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 xml:space="preserve">guarismo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“15”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 xml:space="preserve"> por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“100”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 xml:space="preserve"> y la palabra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tres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cinco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06CBBF2F" w14:textId="77777777" w:rsidR="00A41708" w:rsidRDefault="00CA4D41" w:rsidP="005241D1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F93FC7">
              <w:rPr>
                <w:rFonts w:ascii="Arial" w:eastAsia="Cambria" w:hAnsi="Arial" w:cs="Arial"/>
                <w:bCs/>
                <w:lang w:val="es-ES_tradnl"/>
              </w:rPr>
              <w:t>En el numeral 3, reemplácese la palabra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noventa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cient</w:t>
            </w:r>
            <w:r w:rsidR="00B3709F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o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ochenta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”; el guarismo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30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200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y la palabra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tres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cinco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258C78FB" w14:textId="77777777" w:rsidR="00A41708" w:rsidRDefault="00CA4D41" w:rsidP="005241D1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F93FC7">
              <w:rPr>
                <w:rFonts w:ascii="Arial" w:eastAsia="Cambria" w:hAnsi="Arial" w:cs="Arial"/>
                <w:bCs/>
                <w:lang w:val="es-ES_tradnl"/>
              </w:rPr>
              <w:t>En el numeral 4, la frase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un año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hasta cinco años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”; el</w:t>
            </w:r>
            <w:r w:rsidR="00B3709F" w:rsidRPr="00F93FC7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guarismo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60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500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y la palabra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tres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cinco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27C6DABF" w14:textId="5917E082" w:rsidR="00D3314E" w:rsidRDefault="00CA4D41" w:rsidP="00D3314E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F93FC7">
              <w:rPr>
                <w:rFonts w:ascii="Arial" w:eastAsia="Cambria" w:hAnsi="Arial" w:cs="Arial"/>
                <w:bCs/>
                <w:lang w:val="es-ES_tradnl"/>
              </w:rPr>
              <w:t>En el inciso séptimo, reemplácese la frase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10 y hasta 80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 por “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80</w:t>
            </w:r>
            <w:r w:rsidR="00420B96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y hasta 180</w:t>
            </w:r>
            <w:r w:rsidRPr="00F93FC7">
              <w:rPr>
                <w:rFonts w:ascii="Arial" w:eastAsia="Cambria" w:hAnsi="Arial" w:cs="Arial"/>
                <w:bCs/>
                <w:lang w:val="es-ES_tradnl"/>
              </w:rPr>
              <w:t>”.</w:t>
            </w:r>
          </w:p>
          <w:p w14:paraId="0DD29923" w14:textId="77777777" w:rsidR="00360E84" w:rsidRPr="00D3314E" w:rsidRDefault="00360E84" w:rsidP="00360E84">
            <w:pPr>
              <w:pStyle w:val="Prrafodelista"/>
              <w:spacing w:before="240" w:line="240" w:lineRule="auto"/>
              <w:ind w:left="1080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</w:p>
          <w:p w14:paraId="469B86FC" w14:textId="77777777" w:rsidR="00D3314E" w:rsidRDefault="00CA4D41" w:rsidP="00CA4D41">
            <w:pPr>
              <w:pStyle w:val="Prrafodelista"/>
              <w:numPr>
                <w:ilvl w:val="0"/>
                <w:numId w:val="13"/>
              </w:num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D3314E">
              <w:rPr>
                <w:rFonts w:ascii="Arial" w:eastAsia="Cambria" w:hAnsi="Arial" w:cs="Arial"/>
                <w:bCs/>
                <w:lang w:val="es-ES_tradnl"/>
              </w:rPr>
              <w:t>Incorporase un artículo 13, nuevo, del siguiente tenor:</w:t>
            </w:r>
          </w:p>
          <w:p w14:paraId="3D626942" w14:textId="77777777" w:rsidR="007C6BC6" w:rsidRDefault="007C6BC6" w:rsidP="00D3314E">
            <w:pPr>
              <w:pStyle w:val="Prrafodelista"/>
              <w:spacing w:before="240" w:line="240" w:lineRule="auto"/>
              <w:jc w:val="both"/>
              <w:rPr>
                <w:rFonts w:ascii="Arial" w:eastAsia="Cambria" w:hAnsi="Arial" w:cs="Arial"/>
                <w:bCs/>
                <w:i/>
                <w:iCs/>
                <w:lang w:val="es-ES_tradnl"/>
              </w:rPr>
            </w:pPr>
          </w:p>
          <w:p w14:paraId="0DC23863" w14:textId="658F1696" w:rsidR="00CA4D41" w:rsidRPr="00420B96" w:rsidRDefault="00CA4D41" w:rsidP="00D3314E">
            <w:pPr>
              <w:pStyle w:val="Prrafodelista"/>
              <w:spacing w:before="240" w:line="240" w:lineRule="auto"/>
              <w:jc w:val="both"/>
              <w:rPr>
                <w:rFonts w:ascii="Arial" w:eastAsia="Cambria" w:hAnsi="Arial" w:cs="Arial"/>
                <w:bCs/>
                <w:i/>
                <w:iCs/>
                <w:lang w:val="es-ES_tradnl"/>
              </w:rPr>
            </w:pP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“Artículo 13. Para el otorgamiento de una licencia médica, el formulario</w:t>
            </w:r>
            <w:r w:rsidR="00D3314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especial u otro soporte en que esta se materialice deberá expresar clara</w:t>
            </w:r>
            <w:r w:rsidR="00D3314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y visiblemente las consecuencias jurídicas que implica su otorgamiento,</w:t>
            </w:r>
            <w:r w:rsidR="00D3314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obtención o tramitación falsa o maliciosa, tanto para el profesional que</w:t>
            </w:r>
            <w:r w:rsidR="00D3314E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certifica como para el trabajador o funcionario que la utilice.”</w:t>
            </w:r>
          </w:p>
          <w:p w14:paraId="243B7B46" w14:textId="77777777" w:rsidR="00420B96" w:rsidRDefault="00CA4D41" w:rsidP="00CA4D41">
            <w:p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420B96">
              <w:rPr>
                <w:rFonts w:ascii="Arial" w:eastAsia="Cambria" w:hAnsi="Arial" w:cs="Arial"/>
                <w:b/>
                <w:lang w:val="es-ES_tradnl"/>
              </w:rPr>
              <w:t>Artículo tercero</w:t>
            </w:r>
            <w:r w:rsidR="00420B96" w:rsidRPr="00420B96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 xml:space="preserve"> Modificase el artículo 160 del Decreto con Fuerza de Ley N°1,</w:t>
            </w:r>
            <w:r w:rsidR="00420B96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que fija el texto refundido, coordinado y sistematizado del Código del Trabajo,</w:t>
            </w:r>
            <w:r w:rsidR="00420B96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incorporando un inciso final del siguiente tenor:</w:t>
            </w:r>
          </w:p>
          <w:p w14:paraId="10D84FC2" w14:textId="33F39F85" w:rsidR="00CA4D41" w:rsidRPr="00420B96" w:rsidRDefault="00CA4D41" w:rsidP="00360E84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  <w:bCs/>
                <w:i/>
                <w:iCs/>
                <w:lang w:val="es-ES_tradnl"/>
              </w:rPr>
            </w:pP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“Con todo, el uso indebido de licencias médicas, acreditado de conformidad con</w:t>
            </w:r>
            <w:r w:rsidR="00420B96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el procedimiento establecido en la ley, podrá ser calificado por el empleador para</w:t>
            </w:r>
            <w:r w:rsidR="00420B96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configurar la causal de falta de probidad establecida en el número 1, letra a), de este</w:t>
            </w:r>
            <w:r w:rsidR="00420B96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artículo.”.</w:t>
            </w:r>
          </w:p>
          <w:p w14:paraId="00A80534" w14:textId="46D4FB36" w:rsidR="00420B96" w:rsidRDefault="00CA4D41" w:rsidP="00CA4D41">
            <w:p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420B96">
              <w:rPr>
                <w:rFonts w:ascii="Arial" w:eastAsia="Cambria" w:hAnsi="Arial" w:cs="Arial"/>
                <w:b/>
                <w:lang w:val="es-ES_tradnl"/>
              </w:rPr>
              <w:t>Artículo cuarto</w:t>
            </w:r>
            <w:r w:rsidR="00420B96" w:rsidRPr="00420B96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 xml:space="preserve"> Modificase el artículo 125 del Decreto con Fuerza de Ley N°29,</w:t>
            </w:r>
            <w:r w:rsidR="00420B96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que fija el texto refundido, coordinado y sistematizado de la Ley Nº18.834, sobre</w:t>
            </w:r>
            <w:r w:rsidR="00420B96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Estatuto Administrativo, incorporando una letra e) nueva, pasando la actual a ser f),</w:t>
            </w:r>
            <w:r w:rsidR="00420B96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del siguiente tenor:</w:t>
            </w:r>
          </w:p>
          <w:p w14:paraId="4F187359" w14:textId="77777777" w:rsidR="00420B96" w:rsidRPr="00420B96" w:rsidRDefault="00CA4D41" w:rsidP="00360E84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  <w:bCs/>
                <w:i/>
                <w:iCs/>
                <w:lang w:val="es-ES_tradnl"/>
              </w:rPr>
            </w:pP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“e) Incurrir en falsedad en la presentación de certificados, permisos, licencias</w:t>
            </w:r>
            <w:r w:rsidR="00420B96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médicas o estado de salud, en falsificación de éstos, o en uso malicioso de ellos.”.</w:t>
            </w:r>
          </w:p>
          <w:p w14:paraId="584B3AB4" w14:textId="77777777" w:rsidR="00420B96" w:rsidRDefault="00CA4D41" w:rsidP="00CA4D41">
            <w:pPr>
              <w:spacing w:before="240" w:line="240" w:lineRule="auto"/>
              <w:jc w:val="both"/>
              <w:rPr>
                <w:rFonts w:ascii="Arial" w:eastAsia="Cambria" w:hAnsi="Arial" w:cs="Arial"/>
                <w:bCs/>
                <w:lang w:val="es-ES_tradnl"/>
              </w:rPr>
            </w:pPr>
            <w:r w:rsidRPr="00420B96">
              <w:rPr>
                <w:rFonts w:ascii="Arial" w:eastAsia="Cambria" w:hAnsi="Arial" w:cs="Arial"/>
                <w:b/>
                <w:lang w:val="es-ES_tradnl"/>
              </w:rPr>
              <w:t>Artículo quinto</w:t>
            </w:r>
            <w:r w:rsidR="00420B96" w:rsidRPr="00420B96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 xml:space="preserve"> Modificase el artículo 123 de la Ley Nº18.833, que aprueba el</w:t>
            </w:r>
            <w:r w:rsidR="00420B96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Estatuto Administrativo para funcionarios municipales, incorporando una letra f)</w:t>
            </w:r>
            <w:r w:rsidR="00420B96">
              <w:rPr>
                <w:rFonts w:ascii="Arial" w:eastAsia="Cambria" w:hAnsi="Arial" w:cs="Arial"/>
                <w:bCs/>
                <w:lang w:val="es-ES_tradnl"/>
              </w:rPr>
              <w:t xml:space="preserve"> </w:t>
            </w:r>
            <w:r w:rsidRPr="00CA4D41">
              <w:rPr>
                <w:rFonts w:ascii="Arial" w:eastAsia="Cambria" w:hAnsi="Arial" w:cs="Arial"/>
                <w:bCs/>
                <w:lang w:val="es-ES_tradnl"/>
              </w:rPr>
              <w:t>nueva, pasando la actual a ser g), del siguiente tenor:</w:t>
            </w:r>
          </w:p>
          <w:p w14:paraId="75BA7B4D" w14:textId="16DDA1FF" w:rsidR="0069164D" w:rsidRPr="00FD329D" w:rsidRDefault="00CA4D41" w:rsidP="00360E84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  <w:bCs/>
                <w:i/>
                <w:iCs/>
                <w:lang w:val="es-ES_tradnl"/>
              </w:rPr>
            </w:pP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“f) Incurrir en falsedad en la presentación de certificados, permisos, licencias</w:t>
            </w:r>
            <w:r w:rsidR="00420B96"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 xml:space="preserve"> </w:t>
            </w:r>
            <w:r w:rsidRPr="00420B96">
              <w:rPr>
                <w:rFonts w:ascii="Arial" w:eastAsia="Cambria" w:hAnsi="Arial" w:cs="Arial"/>
                <w:bCs/>
                <w:i/>
                <w:iCs/>
                <w:lang w:val="es-ES_tradnl"/>
              </w:rPr>
              <w:t>médicas o estado de salud, en falsificación de éstos, o en uso malicioso de ellos.”.</w:t>
            </w:r>
          </w:p>
        </w:tc>
      </w:tr>
    </w:tbl>
    <w:p w14:paraId="1A80B6C5" w14:textId="1DBB85BD" w:rsidR="001A4138" w:rsidRPr="001C05A0" w:rsidRDefault="001A4138" w:rsidP="005F2DA9">
      <w:pPr>
        <w:jc w:val="both"/>
        <w:rPr>
          <w:rFonts w:ascii="Arial" w:hAnsi="Arial" w:cs="Arial"/>
        </w:rPr>
      </w:pPr>
    </w:p>
    <w:p w14:paraId="61496B62" w14:textId="77777777" w:rsidR="00A722D9" w:rsidRPr="001C05A0" w:rsidRDefault="00A722D9" w:rsidP="005F2DA9">
      <w:pPr>
        <w:jc w:val="both"/>
        <w:rPr>
          <w:rFonts w:ascii="Arial" w:hAnsi="Arial" w:cs="Arial"/>
        </w:rPr>
      </w:pPr>
    </w:p>
    <w:sectPr w:rsidR="00A722D9" w:rsidRPr="001C05A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EF43" w14:textId="77777777" w:rsidR="00EF3AAE" w:rsidRDefault="00EF3AAE" w:rsidP="00A11360">
      <w:pPr>
        <w:spacing w:after="0" w:line="240" w:lineRule="auto"/>
      </w:pPr>
      <w:r>
        <w:separator/>
      </w:r>
    </w:p>
  </w:endnote>
  <w:endnote w:type="continuationSeparator" w:id="0">
    <w:p w14:paraId="7EA0DC51" w14:textId="77777777" w:rsidR="00EF3AAE" w:rsidRDefault="00EF3AAE" w:rsidP="00A1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547405"/>
      <w:docPartObj>
        <w:docPartGallery w:val="Page Numbers (Bottom of Page)"/>
        <w:docPartUnique/>
      </w:docPartObj>
    </w:sdtPr>
    <w:sdtEndPr/>
    <w:sdtContent>
      <w:p w14:paraId="0AC943B3" w14:textId="631E610C" w:rsidR="00460F4A" w:rsidRDefault="00460F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262A70" w14:textId="77777777" w:rsidR="00460F4A" w:rsidRDefault="00460F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D46F" w14:textId="77777777" w:rsidR="00EF3AAE" w:rsidRDefault="00EF3AAE" w:rsidP="00A11360">
      <w:pPr>
        <w:spacing w:after="0" w:line="240" w:lineRule="auto"/>
      </w:pPr>
      <w:r>
        <w:separator/>
      </w:r>
    </w:p>
  </w:footnote>
  <w:footnote w:type="continuationSeparator" w:id="0">
    <w:p w14:paraId="540FDB1E" w14:textId="77777777" w:rsidR="00EF3AAE" w:rsidRDefault="00EF3AAE" w:rsidP="00A11360">
      <w:pPr>
        <w:spacing w:after="0" w:line="240" w:lineRule="auto"/>
      </w:pPr>
      <w:r>
        <w:continuationSeparator/>
      </w:r>
    </w:p>
  </w:footnote>
  <w:footnote w:id="1">
    <w:p w14:paraId="59B06254" w14:textId="660E715C" w:rsidR="002E7B46" w:rsidRPr="002E7B46" w:rsidRDefault="002E7B46">
      <w:pPr>
        <w:pStyle w:val="Textonotapie"/>
      </w:pPr>
      <w:r>
        <w:rPr>
          <w:rStyle w:val="Refdenotaalpie"/>
        </w:rPr>
        <w:footnoteRef/>
      </w:r>
      <w:r>
        <w:t xml:space="preserve"> Las tablas como las citaciones de las comisiones pueden cambiar.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A4D4" w14:textId="42FF47B7" w:rsidR="00243D72" w:rsidRDefault="00243D72" w:rsidP="00243D72">
    <w:pPr>
      <w:pStyle w:val="Encabezado"/>
      <w:jc w:val="center"/>
    </w:pPr>
    <w:r>
      <w:rPr>
        <w:noProof/>
      </w:rPr>
      <w:drawing>
        <wp:inline distT="0" distB="0" distL="0" distR="0" wp14:anchorId="566F0123" wp14:editId="78F69D7C">
          <wp:extent cx="5276850" cy="1647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LSO_OPCION 1 con correccion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16478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CBF"/>
    <w:multiLevelType w:val="multilevel"/>
    <w:tmpl w:val="25023A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5FA2B81"/>
    <w:multiLevelType w:val="hybridMultilevel"/>
    <w:tmpl w:val="238C1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4CF"/>
    <w:multiLevelType w:val="hybridMultilevel"/>
    <w:tmpl w:val="383A8B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14684"/>
    <w:multiLevelType w:val="hybridMultilevel"/>
    <w:tmpl w:val="E2FEC0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0540E"/>
    <w:multiLevelType w:val="hybridMultilevel"/>
    <w:tmpl w:val="CCCC4F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F1B"/>
    <w:multiLevelType w:val="multilevel"/>
    <w:tmpl w:val="D65883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7661F0"/>
    <w:multiLevelType w:val="multilevel"/>
    <w:tmpl w:val="ED3A57F4"/>
    <w:lvl w:ilvl="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8E556B"/>
    <w:multiLevelType w:val="hybridMultilevel"/>
    <w:tmpl w:val="2102CE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59A801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FEF"/>
    <w:multiLevelType w:val="hybridMultilevel"/>
    <w:tmpl w:val="07B293C8"/>
    <w:lvl w:ilvl="0" w:tplc="340A0017">
      <w:start w:val="1"/>
      <w:numFmt w:val="lowerLetter"/>
      <w:lvlText w:val="%1)"/>
      <w:lvlJc w:val="left"/>
      <w:pPr>
        <w:ind w:left="2295" w:hanging="360"/>
      </w:pPr>
    </w:lvl>
    <w:lvl w:ilvl="1" w:tplc="340A0019">
      <w:start w:val="1"/>
      <w:numFmt w:val="lowerLetter"/>
      <w:lvlText w:val="%2."/>
      <w:lvlJc w:val="left"/>
      <w:pPr>
        <w:ind w:left="3015" w:hanging="360"/>
      </w:pPr>
    </w:lvl>
    <w:lvl w:ilvl="2" w:tplc="340A001B" w:tentative="1">
      <w:start w:val="1"/>
      <w:numFmt w:val="lowerRoman"/>
      <w:lvlText w:val="%3."/>
      <w:lvlJc w:val="right"/>
      <w:pPr>
        <w:ind w:left="3735" w:hanging="180"/>
      </w:pPr>
    </w:lvl>
    <w:lvl w:ilvl="3" w:tplc="340A000F" w:tentative="1">
      <w:start w:val="1"/>
      <w:numFmt w:val="decimal"/>
      <w:lvlText w:val="%4."/>
      <w:lvlJc w:val="left"/>
      <w:pPr>
        <w:ind w:left="4455" w:hanging="360"/>
      </w:pPr>
    </w:lvl>
    <w:lvl w:ilvl="4" w:tplc="340A0019" w:tentative="1">
      <w:start w:val="1"/>
      <w:numFmt w:val="lowerLetter"/>
      <w:lvlText w:val="%5."/>
      <w:lvlJc w:val="left"/>
      <w:pPr>
        <w:ind w:left="5175" w:hanging="360"/>
      </w:pPr>
    </w:lvl>
    <w:lvl w:ilvl="5" w:tplc="340A001B" w:tentative="1">
      <w:start w:val="1"/>
      <w:numFmt w:val="lowerRoman"/>
      <w:lvlText w:val="%6."/>
      <w:lvlJc w:val="right"/>
      <w:pPr>
        <w:ind w:left="5895" w:hanging="180"/>
      </w:pPr>
    </w:lvl>
    <w:lvl w:ilvl="6" w:tplc="340A000F" w:tentative="1">
      <w:start w:val="1"/>
      <w:numFmt w:val="decimal"/>
      <w:lvlText w:val="%7."/>
      <w:lvlJc w:val="left"/>
      <w:pPr>
        <w:ind w:left="6615" w:hanging="360"/>
      </w:pPr>
    </w:lvl>
    <w:lvl w:ilvl="7" w:tplc="340A0019" w:tentative="1">
      <w:start w:val="1"/>
      <w:numFmt w:val="lowerLetter"/>
      <w:lvlText w:val="%8."/>
      <w:lvlJc w:val="left"/>
      <w:pPr>
        <w:ind w:left="7335" w:hanging="360"/>
      </w:pPr>
    </w:lvl>
    <w:lvl w:ilvl="8" w:tplc="340A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9" w15:restartNumberingAfterBreak="0">
    <w:nsid w:val="3C4A17D8"/>
    <w:multiLevelType w:val="hybridMultilevel"/>
    <w:tmpl w:val="FA60DE38"/>
    <w:lvl w:ilvl="0" w:tplc="F7507B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77D1"/>
    <w:multiLevelType w:val="hybridMultilevel"/>
    <w:tmpl w:val="E8A23A0E"/>
    <w:lvl w:ilvl="0" w:tplc="18584E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D92BCA"/>
    <w:multiLevelType w:val="hybridMultilevel"/>
    <w:tmpl w:val="4424A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A68F0"/>
    <w:multiLevelType w:val="hybridMultilevel"/>
    <w:tmpl w:val="29E233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3041B"/>
    <w:multiLevelType w:val="hybridMultilevel"/>
    <w:tmpl w:val="75CEE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87D57"/>
    <w:multiLevelType w:val="hybridMultilevel"/>
    <w:tmpl w:val="6874B2F0"/>
    <w:lvl w:ilvl="0" w:tplc="340A0017">
      <w:start w:val="1"/>
      <w:numFmt w:val="lowerLetter"/>
      <w:lvlText w:val="%1)"/>
      <w:lvlJc w:val="left"/>
      <w:pPr>
        <w:ind w:left="1515" w:hanging="360"/>
      </w:pPr>
    </w:lvl>
    <w:lvl w:ilvl="1" w:tplc="340A0019" w:tentative="1">
      <w:start w:val="1"/>
      <w:numFmt w:val="lowerLetter"/>
      <w:lvlText w:val="%2."/>
      <w:lvlJc w:val="left"/>
      <w:pPr>
        <w:ind w:left="2235" w:hanging="360"/>
      </w:pPr>
    </w:lvl>
    <w:lvl w:ilvl="2" w:tplc="340A001B" w:tentative="1">
      <w:start w:val="1"/>
      <w:numFmt w:val="lowerRoman"/>
      <w:lvlText w:val="%3."/>
      <w:lvlJc w:val="right"/>
      <w:pPr>
        <w:ind w:left="2955" w:hanging="180"/>
      </w:pPr>
    </w:lvl>
    <w:lvl w:ilvl="3" w:tplc="340A000F" w:tentative="1">
      <w:start w:val="1"/>
      <w:numFmt w:val="decimal"/>
      <w:lvlText w:val="%4."/>
      <w:lvlJc w:val="left"/>
      <w:pPr>
        <w:ind w:left="3675" w:hanging="360"/>
      </w:pPr>
    </w:lvl>
    <w:lvl w:ilvl="4" w:tplc="340A0019" w:tentative="1">
      <w:start w:val="1"/>
      <w:numFmt w:val="lowerLetter"/>
      <w:lvlText w:val="%5."/>
      <w:lvlJc w:val="left"/>
      <w:pPr>
        <w:ind w:left="4395" w:hanging="360"/>
      </w:pPr>
    </w:lvl>
    <w:lvl w:ilvl="5" w:tplc="340A001B" w:tentative="1">
      <w:start w:val="1"/>
      <w:numFmt w:val="lowerRoman"/>
      <w:lvlText w:val="%6."/>
      <w:lvlJc w:val="right"/>
      <w:pPr>
        <w:ind w:left="5115" w:hanging="180"/>
      </w:pPr>
    </w:lvl>
    <w:lvl w:ilvl="6" w:tplc="340A000F" w:tentative="1">
      <w:start w:val="1"/>
      <w:numFmt w:val="decimal"/>
      <w:lvlText w:val="%7."/>
      <w:lvlJc w:val="left"/>
      <w:pPr>
        <w:ind w:left="5835" w:hanging="360"/>
      </w:pPr>
    </w:lvl>
    <w:lvl w:ilvl="7" w:tplc="340A0019" w:tentative="1">
      <w:start w:val="1"/>
      <w:numFmt w:val="lowerLetter"/>
      <w:lvlText w:val="%8."/>
      <w:lvlJc w:val="left"/>
      <w:pPr>
        <w:ind w:left="6555" w:hanging="360"/>
      </w:pPr>
    </w:lvl>
    <w:lvl w:ilvl="8" w:tplc="340A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66138026">
    <w:abstractNumId w:val="5"/>
  </w:num>
  <w:num w:numId="2" w16cid:durableId="365300114">
    <w:abstractNumId w:val="0"/>
  </w:num>
  <w:num w:numId="3" w16cid:durableId="252125524">
    <w:abstractNumId w:val="6"/>
  </w:num>
  <w:num w:numId="4" w16cid:durableId="1099179142">
    <w:abstractNumId w:val="9"/>
  </w:num>
  <w:num w:numId="5" w16cid:durableId="548999244">
    <w:abstractNumId w:val="11"/>
  </w:num>
  <w:num w:numId="6" w16cid:durableId="1917402263">
    <w:abstractNumId w:val="2"/>
  </w:num>
  <w:num w:numId="7" w16cid:durableId="585850138">
    <w:abstractNumId w:val="4"/>
  </w:num>
  <w:num w:numId="8" w16cid:durableId="115176511">
    <w:abstractNumId w:val="13"/>
  </w:num>
  <w:num w:numId="9" w16cid:durableId="1530337925">
    <w:abstractNumId w:val="7"/>
  </w:num>
  <w:num w:numId="10" w16cid:durableId="374889115">
    <w:abstractNumId w:val="8"/>
  </w:num>
  <w:num w:numId="11" w16cid:durableId="1969509230">
    <w:abstractNumId w:val="14"/>
  </w:num>
  <w:num w:numId="12" w16cid:durableId="1254052295">
    <w:abstractNumId w:val="12"/>
  </w:num>
  <w:num w:numId="13" w16cid:durableId="666175949">
    <w:abstractNumId w:val="3"/>
  </w:num>
  <w:num w:numId="14" w16cid:durableId="929778939">
    <w:abstractNumId w:val="10"/>
  </w:num>
  <w:num w:numId="15" w16cid:durableId="148264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C"/>
    <w:rsid w:val="00010269"/>
    <w:rsid w:val="00042D61"/>
    <w:rsid w:val="00043F36"/>
    <w:rsid w:val="00061A46"/>
    <w:rsid w:val="0007599E"/>
    <w:rsid w:val="00094AA7"/>
    <w:rsid w:val="000A0B17"/>
    <w:rsid w:val="000A180C"/>
    <w:rsid w:val="000A5413"/>
    <w:rsid w:val="000B7862"/>
    <w:rsid w:val="000C1E36"/>
    <w:rsid w:val="000D7E78"/>
    <w:rsid w:val="000E77C0"/>
    <w:rsid w:val="000F740F"/>
    <w:rsid w:val="0010145E"/>
    <w:rsid w:val="00103262"/>
    <w:rsid w:val="00110D79"/>
    <w:rsid w:val="001110AD"/>
    <w:rsid w:val="00135C27"/>
    <w:rsid w:val="00154956"/>
    <w:rsid w:val="00157442"/>
    <w:rsid w:val="0016157E"/>
    <w:rsid w:val="00166AA1"/>
    <w:rsid w:val="0018510E"/>
    <w:rsid w:val="001A4138"/>
    <w:rsid w:val="001B0F30"/>
    <w:rsid w:val="001C05A0"/>
    <w:rsid w:val="001C05A7"/>
    <w:rsid w:val="001C1976"/>
    <w:rsid w:val="001C1C8A"/>
    <w:rsid w:val="001F1160"/>
    <w:rsid w:val="001F529D"/>
    <w:rsid w:val="001F650B"/>
    <w:rsid w:val="0020251C"/>
    <w:rsid w:val="002066C7"/>
    <w:rsid w:val="00220349"/>
    <w:rsid w:val="00226FE0"/>
    <w:rsid w:val="00232F01"/>
    <w:rsid w:val="00243D72"/>
    <w:rsid w:val="00247383"/>
    <w:rsid w:val="00250B0E"/>
    <w:rsid w:val="00255FF4"/>
    <w:rsid w:val="00256315"/>
    <w:rsid w:val="00260DC0"/>
    <w:rsid w:val="00262F0B"/>
    <w:rsid w:val="00267CEF"/>
    <w:rsid w:val="00284DA7"/>
    <w:rsid w:val="00285D0B"/>
    <w:rsid w:val="00286D37"/>
    <w:rsid w:val="00296C21"/>
    <w:rsid w:val="002A7A5C"/>
    <w:rsid w:val="002B3F66"/>
    <w:rsid w:val="002C1507"/>
    <w:rsid w:val="002E6090"/>
    <w:rsid w:val="002E62BA"/>
    <w:rsid w:val="002E7B46"/>
    <w:rsid w:val="002E7F16"/>
    <w:rsid w:val="002F17ED"/>
    <w:rsid w:val="002F7F5E"/>
    <w:rsid w:val="003028EB"/>
    <w:rsid w:val="00305615"/>
    <w:rsid w:val="003167AF"/>
    <w:rsid w:val="00331F64"/>
    <w:rsid w:val="003401DD"/>
    <w:rsid w:val="00353151"/>
    <w:rsid w:val="00360642"/>
    <w:rsid w:val="00360E84"/>
    <w:rsid w:val="00361ABC"/>
    <w:rsid w:val="00386548"/>
    <w:rsid w:val="003A111B"/>
    <w:rsid w:val="003A45DD"/>
    <w:rsid w:val="003B3DF8"/>
    <w:rsid w:val="003B47D9"/>
    <w:rsid w:val="003B7400"/>
    <w:rsid w:val="003C37DC"/>
    <w:rsid w:val="003C44A8"/>
    <w:rsid w:val="003E3642"/>
    <w:rsid w:val="003F26AF"/>
    <w:rsid w:val="00412F14"/>
    <w:rsid w:val="00420B96"/>
    <w:rsid w:val="00421E86"/>
    <w:rsid w:val="00431BDD"/>
    <w:rsid w:val="004327CF"/>
    <w:rsid w:val="00452556"/>
    <w:rsid w:val="0045373F"/>
    <w:rsid w:val="0045583D"/>
    <w:rsid w:val="004559C4"/>
    <w:rsid w:val="00457886"/>
    <w:rsid w:val="00460F4A"/>
    <w:rsid w:val="004A4999"/>
    <w:rsid w:val="004A5122"/>
    <w:rsid w:val="004A6186"/>
    <w:rsid w:val="004A618A"/>
    <w:rsid w:val="004B7CEC"/>
    <w:rsid w:val="004C20BA"/>
    <w:rsid w:val="004C788F"/>
    <w:rsid w:val="004E1D8D"/>
    <w:rsid w:val="004E5CD5"/>
    <w:rsid w:val="004F3036"/>
    <w:rsid w:val="00503346"/>
    <w:rsid w:val="00523D03"/>
    <w:rsid w:val="005241D1"/>
    <w:rsid w:val="005317B1"/>
    <w:rsid w:val="0053698B"/>
    <w:rsid w:val="00550FB2"/>
    <w:rsid w:val="00566DDD"/>
    <w:rsid w:val="005A2291"/>
    <w:rsid w:val="005D4BC3"/>
    <w:rsid w:val="005E0033"/>
    <w:rsid w:val="005F14C6"/>
    <w:rsid w:val="005F2B09"/>
    <w:rsid w:val="005F2DA9"/>
    <w:rsid w:val="00601566"/>
    <w:rsid w:val="00602675"/>
    <w:rsid w:val="0061081E"/>
    <w:rsid w:val="0061663A"/>
    <w:rsid w:val="00626EA3"/>
    <w:rsid w:val="0063304A"/>
    <w:rsid w:val="00634F35"/>
    <w:rsid w:val="00640AEB"/>
    <w:rsid w:val="00642D5F"/>
    <w:rsid w:val="006442DC"/>
    <w:rsid w:val="00651BE2"/>
    <w:rsid w:val="006523C3"/>
    <w:rsid w:val="00656C6B"/>
    <w:rsid w:val="006618BE"/>
    <w:rsid w:val="006623B0"/>
    <w:rsid w:val="006667EC"/>
    <w:rsid w:val="0066691F"/>
    <w:rsid w:val="00670101"/>
    <w:rsid w:val="00687A63"/>
    <w:rsid w:val="0069164D"/>
    <w:rsid w:val="00692292"/>
    <w:rsid w:val="006A0979"/>
    <w:rsid w:val="006A1526"/>
    <w:rsid w:val="006B2268"/>
    <w:rsid w:val="006D32AD"/>
    <w:rsid w:val="006D48DD"/>
    <w:rsid w:val="006E3B61"/>
    <w:rsid w:val="006E618A"/>
    <w:rsid w:val="006F0D3E"/>
    <w:rsid w:val="006F7047"/>
    <w:rsid w:val="0071379D"/>
    <w:rsid w:val="007263D0"/>
    <w:rsid w:val="00735D11"/>
    <w:rsid w:val="00742E79"/>
    <w:rsid w:val="007435C1"/>
    <w:rsid w:val="007560CC"/>
    <w:rsid w:val="007651CC"/>
    <w:rsid w:val="0076591E"/>
    <w:rsid w:val="00771F98"/>
    <w:rsid w:val="007748E1"/>
    <w:rsid w:val="0078255E"/>
    <w:rsid w:val="00792C6F"/>
    <w:rsid w:val="007A0A03"/>
    <w:rsid w:val="007B50D8"/>
    <w:rsid w:val="007C1836"/>
    <w:rsid w:val="007C6BC6"/>
    <w:rsid w:val="007C7141"/>
    <w:rsid w:val="007E01E0"/>
    <w:rsid w:val="007E0792"/>
    <w:rsid w:val="007F1088"/>
    <w:rsid w:val="007F2360"/>
    <w:rsid w:val="007F4A65"/>
    <w:rsid w:val="007F4B4F"/>
    <w:rsid w:val="007F744C"/>
    <w:rsid w:val="0080290F"/>
    <w:rsid w:val="008036AB"/>
    <w:rsid w:val="00807CA6"/>
    <w:rsid w:val="008461EA"/>
    <w:rsid w:val="00847C35"/>
    <w:rsid w:val="00856DE9"/>
    <w:rsid w:val="00857D47"/>
    <w:rsid w:val="00857F6A"/>
    <w:rsid w:val="00867A1E"/>
    <w:rsid w:val="00871C8F"/>
    <w:rsid w:val="0087448E"/>
    <w:rsid w:val="00884D6F"/>
    <w:rsid w:val="0089012B"/>
    <w:rsid w:val="008B0C0D"/>
    <w:rsid w:val="008C7DB5"/>
    <w:rsid w:val="008E0A77"/>
    <w:rsid w:val="008E4AEA"/>
    <w:rsid w:val="008E63CC"/>
    <w:rsid w:val="008E7F98"/>
    <w:rsid w:val="008F04F3"/>
    <w:rsid w:val="008F0DC5"/>
    <w:rsid w:val="008F1EF4"/>
    <w:rsid w:val="009167DA"/>
    <w:rsid w:val="0093255B"/>
    <w:rsid w:val="009427E9"/>
    <w:rsid w:val="009462FF"/>
    <w:rsid w:val="0095181E"/>
    <w:rsid w:val="00955217"/>
    <w:rsid w:val="00957539"/>
    <w:rsid w:val="00963E61"/>
    <w:rsid w:val="00975D4E"/>
    <w:rsid w:val="009806F0"/>
    <w:rsid w:val="009974DE"/>
    <w:rsid w:val="009A402A"/>
    <w:rsid w:val="009A5046"/>
    <w:rsid w:val="009B3927"/>
    <w:rsid w:val="009C5129"/>
    <w:rsid w:val="009C67C1"/>
    <w:rsid w:val="009C7A61"/>
    <w:rsid w:val="009E0777"/>
    <w:rsid w:val="009E48F6"/>
    <w:rsid w:val="009E759F"/>
    <w:rsid w:val="00A11360"/>
    <w:rsid w:val="00A16E0E"/>
    <w:rsid w:val="00A208B2"/>
    <w:rsid w:val="00A226A0"/>
    <w:rsid w:val="00A26CDB"/>
    <w:rsid w:val="00A34F55"/>
    <w:rsid w:val="00A364B3"/>
    <w:rsid w:val="00A41708"/>
    <w:rsid w:val="00A46C2A"/>
    <w:rsid w:val="00A479D6"/>
    <w:rsid w:val="00A722D9"/>
    <w:rsid w:val="00A72E55"/>
    <w:rsid w:val="00A7729C"/>
    <w:rsid w:val="00A8110D"/>
    <w:rsid w:val="00A9459B"/>
    <w:rsid w:val="00AA6BFF"/>
    <w:rsid w:val="00AA6D4C"/>
    <w:rsid w:val="00AC3437"/>
    <w:rsid w:val="00AD0D7B"/>
    <w:rsid w:val="00AD68CC"/>
    <w:rsid w:val="00AD74EB"/>
    <w:rsid w:val="00AE0A3A"/>
    <w:rsid w:val="00AE7CCB"/>
    <w:rsid w:val="00AF2D6B"/>
    <w:rsid w:val="00AF4254"/>
    <w:rsid w:val="00B01C58"/>
    <w:rsid w:val="00B01CC7"/>
    <w:rsid w:val="00B1261A"/>
    <w:rsid w:val="00B159C5"/>
    <w:rsid w:val="00B16F4B"/>
    <w:rsid w:val="00B21C8E"/>
    <w:rsid w:val="00B238EA"/>
    <w:rsid w:val="00B3709F"/>
    <w:rsid w:val="00B37AC8"/>
    <w:rsid w:val="00B42A83"/>
    <w:rsid w:val="00B42BED"/>
    <w:rsid w:val="00B474F6"/>
    <w:rsid w:val="00B51A08"/>
    <w:rsid w:val="00B569B5"/>
    <w:rsid w:val="00B62121"/>
    <w:rsid w:val="00B67787"/>
    <w:rsid w:val="00B7044A"/>
    <w:rsid w:val="00B7256A"/>
    <w:rsid w:val="00B76BD1"/>
    <w:rsid w:val="00B800CE"/>
    <w:rsid w:val="00B829E8"/>
    <w:rsid w:val="00B9020D"/>
    <w:rsid w:val="00B93CF6"/>
    <w:rsid w:val="00BA1241"/>
    <w:rsid w:val="00BA5829"/>
    <w:rsid w:val="00BB1A39"/>
    <w:rsid w:val="00BB4ED9"/>
    <w:rsid w:val="00BC724B"/>
    <w:rsid w:val="00BE0275"/>
    <w:rsid w:val="00BE075C"/>
    <w:rsid w:val="00BE73C4"/>
    <w:rsid w:val="00C0210C"/>
    <w:rsid w:val="00C103E1"/>
    <w:rsid w:val="00C12AA2"/>
    <w:rsid w:val="00C21B75"/>
    <w:rsid w:val="00C370A3"/>
    <w:rsid w:val="00C50D68"/>
    <w:rsid w:val="00C63BB8"/>
    <w:rsid w:val="00C81B60"/>
    <w:rsid w:val="00C86562"/>
    <w:rsid w:val="00C90E5D"/>
    <w:rsid w:val="00CA4D41"/>
    <w:rsid w:val="00CC2D1D"/>
    <w:rsid w:val="00CC78C4"/>
    <w:rsid w:val="00CE125C"/>
    <w:rsid w:val="00D00A74"/>
    <w:rsid w:val="00D07770"/>
    <w:rsid w:val="00D2461D"/>
    <w:rsid w:val="00D3314E"/>
    <w:rsid w:val="00D42656"/>
    <w:rsid w:val="00D50BAA"/>
    <w:rsid w:val="00D518BA"/>
    <w:rsid w:val="00D62F69"/>
    <w:rsid w:val="00D74E94"/>
    <w:rsid w:val="00DA59B8"/>
    <w:rsid w:val="00DB2F4C"/>
    <w:rsid w:val="00DE0A9B"/>
    <w:rsid w:val="00DE3D7E"/>
    <w:rsid w:val="00DF79AF"/>
    <w:rsid w:val="00E06128"/>
    <w:rsid w:val="00E12AD1"/>
    <w:rsid w:val="00E1331C"/>
    <w:rsid w:val="00E17597"/>
    <w:rsid w:val="00E2420C"/>
    <w:rsid w:val="00E2557C"/>
    <w:rsid w:val="00E30838"/>
    <w:rsid w:val="00E371B3"/>
    <w:rsid w:val="00E37608"/>
    <w:rsid w:val="00E42738"/>
    <w:rsid w:val="00E449B9"/>
    <w:rsid w:val="00E46280"/>
    <w:rsid w:val="00E474D7"/>
    <w:rsid w:val="00E47ACE"/>
    <w:rsid w:val="00E731C0"/>
    <w:rsid w:val="00E73280"/>
    <w:rsid w:val="00E73D2E"/>
    <w:rsid w:val="00E93540"/>
    <w:rsid w:val="00EA2735"/>
    <w:rsid w:val="00EA3CE1"/>
    <w:rsid w:val="00EA6275"/>
    <w:rsid w:val="00EB6528"/>
    <w:rsid w:val="00EC79B0"/>
    <w:rsid w:val="00ED28D6"/>
    <w:rsid w:val="00EF3A4F"/>
    <w:rsid w:val="00EF3AAE"/>
    <w:rsid w:val="00EF48F5"/>
    <w:rsid w:val="00EF619C"/>
    <w:rsid w:val="00F02AE4"/>
    <w:rsid w:val="00F0569C"/>
    <w:rsid w:val="00F05961"/>
    <w:rsid w:val="00F135A2"/>
    <w:rsid w:val="00F150EE"/>
    <w:rsid w:val="00F3145B"/>
    <w:rsid w:val="00F41243"/>
    <w:rsid w:val="00F428BD"/>
    <w:rsid w:val="00F538B1"/>
    <w:rsid w:val="00F546EB"/>
    <w:rsid w:val="00F56600"/>
    <w:rsid w:val="00F61967"/>
    <w:rsid w:val="00F67265"/>
    <w:rsid w:val="00F729A1"/>
    <w:rsid w:val="00F77605"/>
    <w:rsid w:val="00F9134B"/>
    <w:rsid w:val="00F93FC7"/>
    <w:rsid w:val="00FB04B7"/>
    <w:rsid w:val="00FB4C77"/>
    <w:rsid w:val="00FB657D"/>
    <w:rsid w:val="00FC793B"/>
    <w:rsid w:val="00FD329D"/>
    <w:rsid w:val="00FE434E"/>
    <w:rsid w:val="00FF087D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07C3A"/>
  <w15:chartTrackingRefBased/>
  <w15:docId w15:val="{81F29972-15A1-4436-855F-80C5B971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141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DF79AF"/>
    <w:pPr>
      <w:spacing w:after="0" w:line="240" w:lineRule="auto"/>
      <w:jc w:val="both"/>
    </w:pPr>
    <w:rPr>
      <w:rFonts w:ascii="Consolas" w:eastAsia="Calibri" w:hAnsi="Consolas" w:cs="Consolas"/>
      <w:color w:val="000000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F79AF"/>
    <w:rPr>
      <w:rFonts w:ascii="Consolas" w:eastAsia="Calibri" w:hAnsi="Consolas" w:cs="Consolas"/>
      <w:color w:val="000000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B56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69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69B5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360"/>
  </w:style>
  <w:style w:type="paragraph" w:styleId="Piedepgina">
    <w:name w:val="footer"/>
    <w:basedOn w:val="Normal"/>
    <w:link w:val="Piedepgina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360"/>
  </w:style>
  <w:style w:type="character" w:styleId="Hipervnculo">
    <w:name w:val="Hyperlink"/>
    <w:basedOn w:val="Fuentedeprrafopredeter"/>
    <w:uiPriority w:val="99"/>
    <w:unhideWhenUsed/>
    <w:rsid w:val="00457886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1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10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D7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C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108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08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6A9C-0711-469D-9CB1-A1EFAACD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Morales</dc:creator>
  <cp:keywords/>
  <dc:description/>
  <cp:lastModifiedBy>Mauricio Candia</cp:lastModifiedBy>
  <cp:revision>112</cp:revision>
  <cp:lastPrinted>2023-01-20T14:42:00Z</cp:lastPrinted>
  <dcterms:created xsi:type="dcterms:W3CDTF">2023-01-24T15:27:00Z</dcterms:created>
  <dcterms:modified xsi:type="dcterms:W3CDTF">2023-08-02T13:43:00Z</dcterms:modified>
</cp:coreProperties>
</file>